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842" w:rsidRPr="00A11057" w:rsidRDefault="004C2842" w:rsidP="004C2842">
      <w:pPr>
        <w:spacing w:line="276" w:lineRule="auto"/>
        <w:jc w:val="center"/>
        <w:outlineLvl w:val="0"/>
        <w:rPr>
          <w:rFonts w:asciiTheme="majorHAnsi" w:eastAsia="Calibri" w:hAnsiTheme="majorHAnsi" w:cs="Levenim MT"/>
          <w:b/>
          <w:caps/>
          <w:sz w:val="22"/>
          <w:szCs w:val="22"/>
          <w:lang w:val="sr-Cyrl-CS"/>
        </w:rPr>
      </w:pPr>
      <w:bookmarkStart w:id="0" w:name="_Toc353366222"/>
      <w:bookmarkStart w:id="1" w:name="_Toc368397019"/>
      <w:r w:rsidRPr="00A11057">
        <w:rPr>
          <w:rFonts w:asciiTheme="majorHAnsi" w:eastAsia="Calibri" w:hAnsiTheme="majorHAnsi" w:cs="Levenim MT"/>
          <w:b/>
          <w:caps/>
          <w:sz w:val="22"/>
          <w:szCs w:val="22"/>
          <w:lang w:val="sr-Cyrl-CS"/>
        </w:rPr>
        <w:t>Napredak Srbije u EU integracijama</w:t>
      </w:r>
      <w:bookmarkEnd w:id="0"/>
      <w:bookmarkEnd w:id="1"/>
      <w:r w:rsidRPr="00475398">
        <w:rPr>
          <w:rFonts w:asciiTheme="majorHAnsi" w:eastAsia="Calibri" w:hAnsiTheme="majorHAnsi"/>
          <w:b/>
          <w:caps/>
          <w:sz w:val="22"/>
          <w:szCs w:val="22"/>
          <w:vertAlign w:val="superscript"/>
          <w:lang w:val="sr-Cyrl-CS"/>
        </w:rPr>
        <w:footnoteReference w:id="1"/>
      </w:r>
    </w:p>
    <w:p w:rsidR="004C2842" w:rsidRPr="00A11057" w:rsidRDefault="004C2842" w:rsidP="004C2842">
      <w:pPr>
        <w:spacing w:line="276" w:lineRule="auto"/>
        <w:jc w:val="center"/>
        <w:rPr>
          <w:rFonts w:asciiTheme="majorHAnsi" w:eastAsia="Calibri" w:hAnsiTheme="majorHAnsi"/>
          <w:sz w:val="22"/>
          <w:szCs w:val="22"/>
          <w:lang w:val="sr-Cyrl-CS"/>
        </w:rPr>
      </w:pPr>
      <w:r w:rsidRPr="00A11057">
        <w:rPr>
          <w:rFonts w:asciiTheme="majorHAnsi" w:eastAsia="Calibri" w:hAnsiTheme="majorHAnsi"/>
          <w:sz w:val="22"/>
          <w:szCs w:val="22"/>
          <w:lang w:val="sr-Cyrl-CS"/>
        </w:rPr>
        <w:t>maj/septembar 2013</w:t>
      </w:r>
    </w:p>
    <w:p w:rsidR="004C2842" w:rsidRPr="00A11057" w:rsidRDefault="004C2842" w:rsidP="004C2842">
      <w:pPr>
        <w:spacing w:line="276" w:lineRule="auto"/>
        <w:jc w:val="both"/>
        <w:rPr>
          <w:rFonts w:asciiTheme="majorHAnsi" w:eastAsia="Calibri" w:hAnsiTheme="majorHAnsi"/>
          <w:sz w:val="22"/>
          <w:szCs w:val="22"/>
          <w:lang w:val="sr-Cyrl-CS"/>
        </w:rPr>
      </w:pPr>
    </w:p>
    <w:p w:rsidR="004C2842" w:rsidRPr="00A11057" w:rsidRDefault="004C2842" w:rsidP="004C2842">
      <w:pPr>
        <w:spacing w:line="276" w:lineRule="auto"/>
        <w:jc w:val="both"/>
        <w:outlineLvl w:val="3"/>
        <w:rPr>
          <w:rFonts w:asciiTheme="majorHAnsi" w:eastAsia="Calibri" w:hAnsiTheme="majorHAnsi"/>
          <w:b/>
          <w:sz w:val="22"/>
          <w:szCs w:val="22"/>
          <w:lang w:val="sr-Cyrl-CS"/>
        </w:rPr>
      </w:pPr>
      <w:r w:rsidRPr="00A11057">
        <w:rPr>
          <w:rFonts w:asciiTheme="majorHAnsi" w:eastAsia="Calibri" w:hAnsiTheme="majorHAnsi"/>
          <w:b/>
          <w:sz w:val="22"/>
          <w:szCs w:val="22"/>
          <w:lang w:val="sr-Cyrl-CS"/>
        </w:rPr>
        <w:t>Narodna Skupština</w:t>
      </w:r>
    </w:p>
    <w:p w:rsidR="004C2842" w:rsidRPr="00A11057" w:rsidRDefault="004C2842" w:rsidP="004C2842">
      <w:pPr>
        <w:spacing w:line="276" w:lineRule="auto"/>
        <w:jc w:val="both"/>
        <w:outlineLvl w:val="3"/>
        <w:rPr>
          <w:rFonts w:asciiTheme="majorHAnsi" w:eastAsia="Calibri" w:hAnsiTheme="majorHAnsi"/>
          <w:b/>
          <w:sz w:val="22"/>
          <w:szCs w:val="22"/>
          <w:lang w:val="sr-Cyrl-CS"/>
        </w:rPr>
      </w:pPr>
    </w:p>
    <w:p w:rsidR="004C2842" w:rsidRPr="00A11057" w:rsidRDefault="004C2842" w:rsidP="004C2842">
      <w:pPr>
        <w:spacing w:line="276" w:lineRule="auto"/>
        <w:jc w:val="both"/>
        <w:outlineLvl w:val="3"/>
        <w:rPr>
          <w:rFonts w:asciiTheme="majorHAnsi" w:eastAsia="Calibri" w:hAnsiTheme="majorHAnsi"/>
          <w:sz w:val="22"/>
          <w:szCs w:val="22"/>
          <w:lang w:val="sr-Cyrl-CS"/>
        </w:rPr>
      </w:pPr>
      <w:r w:rsidRPr="00A11057">
        <w:rPr>
          <w:rFonts w:asciiTheme="majorHAnsi" w:eastAsia="Calibri" w:hAnsiTheme="majorHAnsi"/>
          <w:sz w:val="22"/>
          <w:szCs w:val="22"/>
          <w:lang w:val="sr-Cyrl-CS"/>
        </w:rPr>
        <w:t xml:space="preserve">Narodna Skupština je </w:t>
      </w:r>
      <w:r w:rsidRPr="00A11057">
        <w:rPr>
          <w:rFonts w:asciiTheme="majorHAnsi" w:eastAsia="Calibri" w:hAnsiTheme="majorHAnsi"/>
          <w:b/>
          <w:sz w:val="22"/>
          <w:szCs w:val="22"/>
          <w:lang w:val="sr-Cyrl-CS"/>
        </w:rPr>
        <w:t xml:space="preserve">usvojila važne zakone </w:t>
      </w:r>
      <w:r w:rsidRPr="00A11057">
        <w:rPr>
          <w:rFonts w:asciiTheme="majorHAnsi" w:eastAsia="Calibri" w:hAnsiTheme="majorHAnsi"/>
          <w:sz w:val="22"/>
          <w:szCs w:val="22"/>
          <w:lang w:val="sr-Cyrl-CS"/>
        </w:rPr>
        <w:t>u vezi sa borbom protiv korupcije, jedan od njih je bio na osnovu predloga (SNS) poslani</w:t>
      </w:r>
      <w:r w:rsidRPr="00A11057">
        <w:rPr>
          <w:rFonts w:asciiTheme="majorHAnsi" w:eastAsia="Calibri" w:hAnsiTheme="majorHAnsi" w:cs="Arial"/>
          <w:sz w:val="22"/>
          <w:szCs w:val="22"/>
          <w:lang w:val="sr-Cyrl-CS"/>
        </w:rPr>
        <w:t>č</w:t>
      </w:r>
      <w:r w:rsidRPr="00A11057">
        <w:rPr>
          <w:rFonts w:asciiTheme="majorHAnsi" w:eastAsia="Calibri" w:hAnsiTheme="majorHAnsi"/>
          <w:sz w:val="22"/>
          <w:szCs w:val="22"/>
          <w:lang w:val="sr-Cyrl-CS"/>
        </w:rPr>
        <w:t>ke grupe (Zakon o javnim nabavkama). Skup</w:t>
      </w:r>
      <w:r w:rsidRPr="00A11057">
        <w:rPr>
          <w:rFonts w:asciiTheme="majorHAnsi" w:eastAsia="Calibri" w:hAnsiTheme="majorHAnsi" w:cs="Euphemia"/>
          <w:sz w:val="22"/>
          <w:szCs w:val="22"/>
          <w:lang w:val="sr-Cyrl-CS"/>
        </w:rPr>
        <w:t>š</w:t>
      </w:r>
      <w:r w:rsidRPr="00A11057">
        <w:rPr>
          <w:rFonts w:asciiTheme="majorHAnsi" w:eastAsia="Calibri" w:hAnsiTheme="majorHAnsi"/>
          <w:sz w:val="22"/>
          <w:szCs w:val="22"/>
          <w:lang w:val="sr-Cyrl-CS"/>
        </w:rPr>
        <w:t>tina je, od jula 2012. godine, usvojila va</w:t>
      </w:r>
      <w:r w:rsidRPr="00A11057">
        <w:rPr>
          <w:rFonts w:asciiTheme="majorHAnsi" w:eastAsia="Calibri" w:hAnsiTheme="majorHAnsi" w:cs="Euphemia"/>
          <w:sz w:val="22"/>
          <w:szCs w:val="22"/>
          <w:lang w:val="sr-Cyrl-CS"/>
        </w:rPr>
        <w:t>ž</w:t>
      </w:r>
      <w:r w:rsidRPr="00A11057">
        <w:rPr>
          <w:rFonts w:asciiTheme="majorHAnsi" w:eastAsia="Calibri" w:hAnsiTheme="majorHAnsi"/>
          <w:sz w:val="22"/>
          <w:szCs w:val="22"/>
          <w:lang w:val="sr-Cyrl-CS"/>
        </w:rPr>
        <w:t xml:space="preserve">ne zakone, kao </w:t>
      </w:r>
      <w:r w:rsidRPr="00A11057">
        <w:rPr>
          <w:rFonts w:asciiTheme="majorHAnsi" w:eastAsia="Calibri" w:hAnsiTheme="majorHAnsi" w:cs="Euphemia"/>
          <w:sz w:val="22"/>
          <w:szCs w:val="22"/>
          <w:lang w:val="sr-Cyrl-CS"/>
        </w:rPr>
        <w:t>š</w:t>
      </w:r>
      <w:r w:rsidRPr="00A11057">
        <w:rPr>
          <w:rFonts w:asciiTheme="majorHAnsi" w:eastAsia="Calibri" w:hAnsiTheme="majorHAnsi"/>
          <w:sz w:val="22"/>
          <w:szCs w:val="22"/>
          <w:lang w:val="sr-Cyrl-CS"/>
        </w:rPr>
        <w:t>to su: Zakon o javnim preduze</w:t>
      </w:r>
      <w:r w:rsidRPr="00A11057">
        <w:rPr>
          <w:rFonts w:asciiTheme="majorHAnsi" w:eastAsia="Calibri" w:hAnsiTheme="majorHAnsi" w:cs="Arial"/>
          <w:sz w:val="22"/>
          <w:szCs w:val="22"/>
          <w:lang w:val="sr-Cyrl-CS"/>
        </w:rPr>
        <w:t>ć</w:t>
      </w:r>
      <w:r w:rsidRPr="00A11057">
        <w:rPr>
          <w:rFonts w:asciiTheme="majorHAnsi" w:eastAsia="Calibri" w:hAnsiTheme="majorHAnsi"/>
          <w:sz w:val="22"/>
          <w:szCs w:val="22"/>
          <w:lang w:val="sr-Cyrl-CS"/>
        </w:rPr>
        <w:t>ima, izmene Zakona o bud</w:t>
      </w:r>
      <w:r w:rsidRPr="00A11057">
        <w:rPr>
          <w:rFonts w:asciiTheme="majorHAnsi" w:eastAsia="Calibri" w:hAnsiTheme="majorHAnsi" w:cs="Euphemia"/>
          <w:sz w:val="22"/>
          <w:szCs w:val="22"/>
          <w:lang w:val="sr-Cyrl-CS"/>
        </w:rPr>
        <w:t>ž</w:t>
      </w:r>
      <w:r w:rsidRPr="00A11057">
        <w:rPr>
          <w:rFonts w:asciiTheme="majorHAnsi" w:eastAsia="Calibri" w:hAnsiTheme="majorHAnsi"/>
          <w:sz w:val="22"/>
          <w:szCs w:val="22"/>
          <w:lang w:val="sr-Cyrl-CS"/>
        </w:rPr>
        <w:t>etskom sistemu, izmene Krivi</w:t>
      </w:r>
      <w:r w:rsidRPr="00A11057">
        <w:rPr>
          <w:rFonts w:asciiTheme="majorHAnsi" w:eastAsia="Calibri" w:hAnsiTheme="majorHAnsi" w:cs="Arial"/>
          <w:sz w:val="22"/>
          <w:szCs w:val="22"/>
          <w:lang w:val="sr-Cyrl-CS"/>
        </w:rPr>
        <w:t>č</w:t>
      </w:r>
      <w:r w:rsidRPr="00A11057">
        <w:rPr>
          <w:rFonts w:asciiTheme="majorHAnsi" w:eastAsia="Calibri" w:hAnsiTheme="majorHAnsi"/>
          <w:sz w:val="22"/>
          <w:szCs w:val="22"/>
          <w:lang w:val="sr-Cyrl-CS"/>
        </w:rPr>
        <w:t>nog zakonika, izmene va</w:t>
      </w:r>
      <w:r w:rsidRPr="00A11057">
        <w:rPr>
          <w:rFonts w:asciiTheme="majorHAnsi" w:eastAsia="Calibri" w:hAnsiTheme="majorHAnsi" w:cs="Euphemia"/>
          <w:sz w:val="22"/>
          <w:szCs w:val="22"/>
          <w:lang w:val="sr-Cyrl-CS"/>
        </w:rPr>
        <w:t>ž</w:t>
      </w:r>
      <w:r w:rsidRPr="00A11057">
        <w:rPr>
          <w:rFonts w:asciiTheme="majorHAnsi" w:eastAsia="Calibri" w:hAnsiTheme="majorHAnsi"/>
          <w:sz w:val="22"/>
          <w:szCs w:val="22"/>
          <w:lang w:val="sr-Cyrl-CS"/>
        </w:rPr>
        <w:t>nih poreskih zakona, novi Zakon o prekr</w:t>
      </w:r>
      <w:r w:rsidRPr="00A11057">
        <w:rPr>
          <w:rFonts w:asciiTheme="majorHAnsi" w:eastAsia="Calibri" w:hAnsiTheme="majorHAnsi" w:cs="Euphemia"/>
          <w:sz w:val="22"/>
          <w:szCs w:val="22"/>
          <w:lang w:val="sr-Cyrl-CS"/>
        </w:rPr>
        <w:t>š</w:t>
      </w:r>
      <w:r w:rsidRPr="00A11057">
        <w:rPr>
          <w:rFonts w:asciiTheme="majorHAnsi" w:eastAsia="Calibri" w:hAnsiTheme="majorHAnsi"/>
          <w:sz w:val="22"/>
          <w:szCs w:val="22"/>
          <w:lang w:val="sr-Cyrl-CS"/>
        </w:rPr>
        <w:t>ajima, itd. U vršenju zakonodavne funkcije, Skupština je uglavnom efikasna. Me</w:t>
      </w:r>
      <w:r w:rsidRPr="00A11057">
        <w:rPr>
          <w:rFonts w:asciiTheme="majorHAnsi" w:eastAsia="Calibri" w:hAnsiTheme="majorHAnsi" w:cs="Arial"/>
          <w:sz w:val="22"/>
          <w:szCs w:val="22"/>
          <w:lang w:val="sr-Cyrl-CS"/>
        </w:rPr>
        <w:t>đ</w:t>
      </w:r>
      <w:r w:rsidRPr="00A11057">
        <w:rPr>
          <w:rFonts w:asciiTheme="majorHAnsi" w:eastAsia="Calibri" w:hAnsiTheme="majorHAnsi"/>
          <w:sz w:val="22"/>
          <w:szCs w:val="22"/>
          <w:lang w:val="sr-Cyrl-CS"/>
        </w:rPr>
        <w:t>utim, diskusije o zakonima u proceduri nisu uvek dovoljno kvalitetne, što onemogu</w:t>
      </w:r>
      <w:r w:rsidRPr="00A11057">
        <w:rPr>
          <w:rFonts w:asciiTheme="majorHAnsi" w:eastAsia="Calibri" w:hAnsiTheme="majorHAnsi" w:cs="Arial"/>
          <w:sz w:val="22"/>
          <w:szCs w:val="22"/>
          <w:lang w:val="sr-Cyrl-CS"/>
        </w:rPr>
        <w:t>ć</w:t>
      </w:r>
      <w:r w:rsidRPr="00A11057">
        <w:rPr>
          <w:rFonts w:asciiTheme="majorHAnsi" w:eastAsia="Calibri" w:hAnsiTheme="majorHAnsi"/>
          <w:sz w:val="22"/>
          <w:szCs w:val="22"/>
          <w:lang w:val="sr-Cyrl-CS"/>
        </w:rPr>
        <w:t>ava da se uo</w:t>
      </w:r>
      <w:r w:rsidRPr="00A11057">
        <w:rPr>
          <w:rFonts w:asciiTheme="majorHAnsi" w:eastAsia="Calibri" w:hAnsiTheme="majorHAnsi" w:cs="Arial"/>
          <w:sz w:val="22"/>
          <w:szCs w:val="22"/>
          <w:lang w:val="sr-Cyrl-CS"/>
        </w:rPr>
        <w:t>č</w:t>
      </w:r>
      <w:r w:rsidRPr="00A11057">
        <w:rPr>
          <w:rFonts w:asciiTheme="majorHAnsi" w:eastAsia="Calibri" w:hAnsiTheme="majorHAnsi"/>
          <w:sz w:val="22"/>
          <w:szCs w:val="22"/>
          <w:lang w:val="sr-Cyrl-CS"/>
        </w:rPr>
        <w:t xml:space="preserve">e i isprave svi nedostaci predloga zakona. </w:t>
      </w:r>
    </w:p>
    <w:p w:rsidR="004C2842" w:rsidRPr="00A11057" w:rsidRDefault="004C2842" w:rsidP="004C2842">
      <w:pPr>
        <w:spacing w:line="276" w:lineRule="auto"/>
        <w:jc w:val="both"/>
        <w:outlineLvl w:val="3"/>
        <w:rPr>
          <w:rFonts w:asciiTheme="majorHAnsi" w:eastAsia="Calibri" w:hAnsiTheme="majorHAnsi"/>
          <w:sz w:val="22"/>
          <w:szCs w:val="22"/>
          <w:lang w:val="sr-Cyrl-CS"/>
        </w:rPr>
      </w:pPr>
    </w:p>
    <w:p w:rsidR="004C2842" w:rsidRPr="00A11057" w:rsidRDefault="004C2842" w:rsidP="004C2842">
      <w:pPr>
        <w:spacing w:line="276" w:lineRule="auto"/>
        <w:jc w:val="both"/>
        <w:outlineLvl w:val="3"/>
        <w:rPr>
          <w:rFonts w:asciiTheme="majorHAnsi" w:eastAsia="Calibri" w:hAnsiTheme="majorHAnsi"/>
          <w:sz w:val="22"/>
          <w:szCs w:val="22"/>
          <w:lang w:val="sr-Cyrl-CS"/>
        </w:rPr>
      </w:pPr>
      <w:r w:rsidRPr="00A11057">
        <w:rPr>
          <w:rFonts w:asciiTheme="majorHAnsi" w:eastAsia="Calibri" w:hAnsiTheme="majorHAnsi"/>
          <w:sz w:val="22"/>
          <w:szCs w:val="22"/>
          <w:lang w:val="sr-Cyrl-CS"/>
        </w:rPr>
        <w:t>Skupština je nastavila dobru praksu javnih slušanja, koje su organizovane radi diskutovanja o aktuelnim temama u vezi sa zakonima. Relevantni skupštinski odbori su o izveštajima nezavisnih državnih organa za 2011. godinu raspravljali sa ogromnim zakašnjenjem (koje je delimi</w:t>
      </w:r>
      <w:r w:rsidRPr="00A11057">
        <w:rPr>
          <w:rFonts w:asciiTheme="majorHAnsi" w:eastAsia="Calibri" w:hAnsiTheme="majorHAnsi" w:cs="Arial"/>
          <w:sz w:val="22"/>
          <w:szCs w:val="22"/>
          <w:lang w:val="sr-Cyrl-CS"/>
        </w:rPr>
        <w:t>č</w:t>
      </w:r>
      <w:r w:rsidRPr="00A11057">
        <w:rPr>
          <w:rFonts w:asciiTheme="majorHAnsi" w:eastAsia="Calibri" w:hAnsiTheme="majorHAnsi"/>
          <w:sz w:val="22"/>
          <w:szCs w:val="22"/>
          <w:lang w:val="sr-Cyrl-CS"/>
        </w:rPr>
        <w:t>no uzrokovano izborima), ali o zaklju</w:t>
      </w:r>
      <w:r w:rsidRPr="00A11057">
        <w:rPr>
          <w:rFonts w:asciiTheme="majorHAnsi" w:eastAsia="Calibri" w:hAnsiTheme="majorHAnsi" w:cs="Arial"/>
          <w:sz w:val="22"/>
          <w:szCs w:val="22"/>
          <w:lang w:val="sr-Cyrl-CS"/>
        </w:rPr>
        <w:t>č</w:t>
      </w:r>
      <w:r w:rsidRPr="00A11057">
        <w:rPr>
          <w:rFonts w:asciiTheme="majorHAnsi" w:eastAsia="Calibri" w:hAnsiTheme="majorHAnsi"/>
          <w:sz w:val="22"/>
          <w:szCs w:val="22"/>
          <w:lang w:val="sr-Cyrl-CS"/>
        </w:rPr>
        <w:t>cima odbora nije raspravljano u plenarnom zasedanju. Skup</w:t>
      </w:r>
      <w:r w:rsidRPr="00A11057">
        <w:rPr>
          <w:rFonts w:asciiTheme="majorHAnsi" w:eastAsia="Calibri" w:hAnsiTheme="majorHAnsi" w:cs="Euphemia"/>
          <w:sz w:val="22"/>
          <w:szCs w:val="22"/>
          <w:lang w:val="sr-Cyrl-CS"/>
        </w:rPr>
        <w:t>š</w:t>
      </w:r>
      <w:r w:rsidRPr="00A11057">
        <w:rPr>
          <w:rFonts w:asciiTheme="majorHAnsi" w:eastAsia="Calibri" w:hAnsiTheme="majorHAnsi"/>
          <w:sz w:val="22"/>
          <w:szCs w:val="22"/>
          <w:lang w:val="sr-Cyrl-CS"/>
        </w:rPr>
        <w:t>tina nije obezbedila sprovo</w:t>
      </w:r>
      <w:r w:rsidRPr="00A11057">
        <w:rPr>
          <w:rFonts w:asciiTheme="majorHAnsi" w:eastAsia="Calibri" w:hAnsiTheme="majorHAnsi" w:cs="Arial"/>
          <w:sz w:val="22"/>
          <w:szCs w:val="22"/>
          <w:lang w:val="sr-Cyrl-CS"/>
        </w:rPr>
        <w:t>đ</w:t>
      </w:r>
      <w:r w:rsidRPr="00A11057">
        <w:rPr>
          <w:rFonts w:asciiTheme="majorHAnsi" w:eastAsia="Calibri" w:hAnsiTheme="majorHAnsi"/>
          <w:sz w:val="22"/>
          <w:szCs w:val="22"/>
          <w:lang w:val="sr-Cyrl-CS"/>
        </w:rPr>
        <w:t>enje pro</w:t>
      </w:r>
      <w:r w:rsidRPr="00A11057">
        <w:rPr>
          <w:rFonts w:asciiTheme="majorHAnsi" w:eastAsia="Calibri" w:hAnsiTheme="majorHAnsi" w:cs="Euphemia"/>
          <w:sz w:val="22"/>
          <w:szCs w:val="22"/>
          <w:lang w:val="sr-Cyrl-CS"/>
        </w:rPr>
        <w:t>š</w:t>
      </w:r>
      <w:r w:rsidRPr="00A11057">
        <w:rPr>
          <w:rFonts w:asciiTheme="majorHAnsi" w:eastAsia="Calibri" w:hAnsiTheme="majorHAnsi"/>
          <w:sz w:val="22"/>
          <w:szCs w:val="22"/>
          <w:lang w:val="sr-Cyrl-CS"/>
        </w:rPr>
        <w:t>logodi</w:t>
      </w:r>
      <w:r w:rsidRPr="00A11057">
        <w:rPr>
          <w:rFonts w:asciiTheme="majorHAnsi" w:eastAsia="Calibri" w:hAnsiTheme="majorHAnsi" w:cs="Euphemia"/>
          <w:sz w:val="22"/>
          <w:szCs w:val="22"/>
          <w:lang w:val="sr-Cyrl-CS"/>
        </w:rPr>
        <w:t>š</w:t>
      </w:r>
      <w:r w:rsidRPr="00A11057">
        <w:rPr>
          <w:rFonts w:asciiTheme="majorHAnsi" w:eastAsia="Calibri" w:hAnsiTheme="majorHAnsi"/>
          <w:sz w:val="22"/>
          <w:szCs w:val="22"/>
          <w:lang w:val="sr-Cyrl-CS"/>
        </w:rPr>
        <w:t>njih zaklju</w:t>
      </w:r>
      <w:r w:rsidRPr="00A11057">
        <w:rPr>
          <w:rFonts w:asciiTheme="majorHAnsi" w:eastAsia="Calibri" w:hAnsiTheme="majorHAnsi" w:cs="Arial"/>
          <w:sz w:val="22"/>
          <w:szCs w:val="22"/>
          <w:lang w:val="sr-Cyrl-CS"/>
        </w:rPr>
        <w:t>č</w:t>
      </w:r>
      <w:r w:rsidRPr="00A11057">
        <w:rPr>
          <w:rFonts w:asciiTheme="majorHAnsi" w:eastAsia="Calibri" w:hAnsiTheme="majorHAnsi"/>
          <w:sz w:val="22"/>
          <w:szCs w:val="22"/>
          <w:lang w:val="sr-Cyrl-CS"/>
        </w:rPr>
        <w:t xml:space="preserve">aka, </w:t>
      </w:r>
      <w:r w:rsidRPr="00A11057">
        <w:rPr>
          <w:rFonts w:asciiTheme="majorHAnsi" w:eastAsia="Calibri" w:hAnsiTheme="majorHAnsi"/>
          <w:b/>
          <w:sz w:val="22"/>
          <w:szCs w:val="22"/>
          <w:lang w:val="sr-Cyrl-CS"/>
        </w:rPr>
        <w:t>niti je koristila izve</w:t>
      </w:r>
      <w:r w:rsidRPr="00A11057">
        <w:rPr>
          <w:rFonts w:asciiTheme="majorHAnsi" w:eastAsia="Calibri" w:hAnsiTheme="majorHAnsi" w:cs="Euphemia"/>
          <w:b/>
          <w:sz w:val="22"/>
          <w:szCs w:val="22"/>
          <w:lang w:val="sr-Cyrl-CS"/>
        </w:rPr>
        <w:t>š</w:t>
      </w:r>
      <w:r w:rsidRPr="00A11057">
        <w:rPr>
          <w:rFonts w:asciiTheme="majorHAnsi" w:eastAsia="Calibri" w:hAnsiTheme="majorHAnsi"/>
          <w:b/>
          <w:sz w:val="22"/>
          <w:szCs w:val="22"/>
          <w:lang w:val="sr-Cyrl-CS"/>
        </w:rPr>
        <w:t>taje nezavisnih tela radi vršenja nadzora i pove</w:t>
      </w:r>
      <w:r w:rsidRPr="00A11057">
        <w:rPr>
          <w:rFonts w:asciiTheme="majorHAnsi" w:eastAsia="Calibri" w:hAnsiTheme="majorHAnsi" w:cs="Arial"/>
          <w:b/>
          <w:sz w:val="22"/>
          <w:szCs w:val="22"/>
          <w:lang w:val="sr-Cyrl-CS"/>
        </w:rPr>
        <w:t>ć</w:t>
      </w:r>
      <w:r w:rsidRPr="00A11057">
        <w:rPr>
          <w:rFonts w:asciiTheme="majorHAnsi" w:eastAsia="Calibri" w:hAnsiTheme="majorHAnsi"/>
          <w:b/>
          <w:sz w:val="22"/>
          <w:szCs w:val="22"/>
          <w:lang w:val="sr-Cyrl-CS"/>
        </w:rPr>
        <w:t>anja odgovornosti Vlade</w:t>
      </w:r>
      <w:r w:rsidRPr="00A11057">
        <w:rPr>
          <w:rFonts w:asciiTheme="majorHAnsi" w:eastAsia="Calibri" w:hAnsiTheme="majorHAnsi"/>
          <w:sz w:val="22"/>
          <w:szCs w:val="22"/>
          <w:lang w:val="sr-Cyrl-CS"/>
        </w:rPr>
        <w:t>. Samo je jedno poslani</w:t>
      </w:r>
      <w:r w:rsidRPr="00A11057">
        <w:rPr>
          <w:rFonts w:asciiTheme="majorHAnsi" w:eastAsia="Calibri" w:hAnsiTheme="majorHAnsi" w:cs="Arial"/>
          <w:sz w:val="22"/>
          <w:szCs w:val="22"/>
          <w:lang w:val="sr-Cyrl-CS"/>
        </w:rPr>
        <w:t>č</w:t>
      </w:r>
      <w:r w:rsidRPr="00A11057">
        <w:rPr>
          <w:rFonts w:asciiTheme="majorHAnsi" w:eastAsia="Calibri" w:hAnsiTheme="majorHAnsi"/>
          <w:sz w:val="22"/>
          <w:szCs w:val="22"/>
          <w:lang w:val="sr-Cyrl-CS"/>
        </w:rPr>
        <w:t>ko pitanje postavljeno u vezi sa ovim problemom, i vlada nije pru</w:t>
      </w:r>
      <w:r w:rsidRPr="00A11057">
        <w:rPr>
          <w:rFonts w:asciiTheme="majorHAnsi" w:eastAsia="Calibri" w:hAnsiTheme="majorHAnsi" w:cs="Euphemia"/>
          <w:sz w:val="22"/>
          <w:szCs w:val="22"/>
          <w:lang w:val="sr-Cyrl-CS"/>
        </w:rPr>
        <w:t>ž</w:t>
      </w:r>
      <w:r w:rsidRPr="00A11057">
        <w:rPr>
          <w:rFonts w:asciiTheme="majorHAnsi" w:eastAsia="Calibri" w:hAnsiTheme="majorHAnsi"/>
          <w:sz w:val="22"/>
          <w:szCs w:val="22"/>
          <w:lang w:val="sr-Cyrl-CS"/>
        </w:rPr>
        <w:t>ila odgovor na njega. Odbori su uzeli u razmatranje godišnje izveštaje nezavisnih državnih organa za 2012. godinu, a u plenarnom zasedanju su razmatrani u junu 2013. godine. U pojedinim slu</w:t>
      </w:r>
      <w:r w:rsidRPr="00A11057">
        <w:rPr>
          <w:rFonts w:asciiTheme="majorHAnsi" w:eastAsia="Calibri" w:hAnsiTheme="majorHAnsi" w:cs="Arial"/>
          <w:sz w:val="22"/>
          <w:szCs w:val="22"/>
          <w:lang w:val="sr-Cyrl-CS"/>
        </w:rPr>
        <w:t>č</w:t>
      </w:r>
      <w:r w:rsidRPr="00A11057">
        <w:rPr>
          <w:rFonts w:asciiTheme="majorHAnsi" w:eastAsia="Calibri" w:hAnsiTheme="majorHAnsi"/>
          <w:sz w:val="22"/>
          <w:szCs w:val="22"/>
          <w:lang w:val="sr-Cyrl-CS"/>
        </w:rPr>
        <w:t xml:space="preserve">ajevima (kao </w:t>
      </w:r>
      <w:r w:rsidRPr="00A11057">
        <w:rPr>
          <w:rFonts w:asciiTheme="majorHAnsi" w:eastAsia="Calibri" w:hAnsiTheme="majorHAnsi" w:cs="Euphemia"/>
          <w:sz w:val="22"/>
          <w:szCs w:val="22"/>
          <w:lang w:val="sr-Cyrl-CS"/>
        </w:rPr>
        <w:t>š</w:t>
      </w:r>
      <w:r w:rsidRPr="00A11057">
        <w:rPr>
          <w:rFonts w:asciiTheme="majorHAnsi" w:eastAsia="Calibri" w:hAnsiTheme="majorHAnsi"/>
          <w:sz w:val="22"/>
          <w:szCs w:val="22"/>
          <w:lang w:val="sr-Cyrl-CS"/>
        </w:rPr>
        <w:t>to su Za</w:t>
      </w:r>
      <w:r w:rsidRPr="00A11057">
        <w:rPr>
          <w:rFonts w:asciiTheme="majorHAnsi" w:eastAsia="Calibri" w:hAnsiTheme="majorHAnsi" w:cs="Euphemia"/>
          <w:sz w:val="22"/>
          <w:szCs w:val="22"/>
          <w:lang w:val="sr-Cyrl-CS"/>
        </w:rPr>
        <w:t>š</w:t>
      </w:r>
      <w:r w:rsidRPr="00A11057">
        <w:rPr>
          <w:rFonts w:asciiTheme="majorHAnsi" w:eastAsia="Calibri" w:hAnsiTheme="majorHAnsi"/>
          <w:sz w:val="22"/>
          <w:szCs w:val="22"/>
          <w:lang w:val="sr-Cyrl-CS"/>
        </w:rPr>
        <w:t>titnik gra</w:t>
      </w:r>
      <w:r w:rsidRPr="00A11057">
        <w:rPr>
          <w:rFonts w:asciiTheme="majorHAnsi" w:eastAsia="Calibri" w:hAnsiTheme="majorHAnsi" w:cs="Arial"/>
          <w:sz w:val="22"/>
          <w:szCs w:val="22"/>
          <w:lang w:val="sr-Cyrl-CS"/>
        </w:rPr>
        <w:t>đ</w:t>
      </w:r>
      <w:r w:rsidRPr="00A11057">
        <w:rPr>
          <w:rFonts w:asciiTheme="majorHAnsi" w:eastAsia="Calibri" w:hAnsiTheme="majorHAnsi"/>
          <w:sz w:val="22"/>
          <w:szCs w:val="22"/>
          <w:lang w:val="sr-Cyrl-CS"/>
        </w:rPr>
        <w:t>ana i Dr</w:t>
      </w:r>
      <w:r w:rsidRPr="00A11057">
        <w:rPr>
          <w:rFonts w:asciiTheme="majorHAnsi" w:eastAsia="Calibri" w:hAnsiTheme="majorHAnsi" w:cs="Euphemia"/>
          <w:sz w:val="22"/>
          <w:szCs w:val="22"/>
          <w:lang w:val="sr-Cyrl-CS"/>
        </w:rPr>
        <w:t>ž</w:t>
      </w:r>
      <w:r w:rsidRPr="00A11057">
        <w:rPr>
          <w:rFonts w:asciiTheme="majorHAnsi" w:eastAsia="Calibri" w:hAnsiTheme="majorHAnsi"/>
          <w:sz w:val="22"/>
          <w:szCs w:val="22"/>
          <w:lang w:val="sr-Cyrl-CS"/>
        </w:rPr>
        <w:t>avna revizorska institucija, ali ne i Poverenik za informacije od javnog zna</w:t>
      </w:r>
      <w:r w:rsidRPr="00A11057">
        <w:rPr>
          <w:rFonts w:asciiTheme="majorHAnsi" w:eastAsia="Calibri" w:hAnsiTheme="majorHAnsi" w:cs="Arial"/>
          <w:sz w:val="22"/>
          <w:szCs w:val="22"/>
          <w:lang w:val="sr-Cyrl-CS"/>
        </w:rPr>
        <w:t>č</w:t>
      </w:r>
      <w:r w:rsidRPr="00A11057">
        <w:rPr>
          <w:rFonts w:asciiTheme="majorHAnsi" w:eastAsia="Calibri" w:hAnsiTheme="majorHAnsi"/>
          <w:sz w:val="22"/>
          <w:szCs w:val="22"/>
          <w:lang w:val="sr-Cyrl-CS"/>
        </w:rPr>
        <w:t>aja i Agencija za borbu protiv korupcije), zaklju</w:t>
      </w:r>
      <w:r w:rsidRPr="00A11057">
        <w:rPr>
          <w:rFonts w:asciiTheme="majorHAnsi" w:eastAsia="Calibri" w:hAnsiTheme="majorHAnsi" w:cs="Arial"/>
          <w:sz w:val="22"/>
          <w:szCs w:val="22"/>
          <w:lang w:val="sr-Cyrl-CS"/>
        </w:rPr>
        <w:t>č</w:t>
      </w:r>
      <w:r w:rsidRPr="00A11057">
        <w:rPr>
          <w:rFonts w:asciiTheme="majorHAnsi" w:eastAsia="Calibri" w:hAnsiTheme="majorHAnsi"/>
          <w:sz w:val="22"/>
          <w:szCs w:val="22"/>
          <w:lang w:val="sr-Cyrl-CS"/>
        </w:rPr>
        <w:t>ci Skup</w:t>
      </w:r>
      <w:r w:rsidRPr="00A11057">
        <w:rPr>
          <w:rFonts w:asciiTheme="majorHAnsi" w:eastAsia="Calibri" w:hAnsiTheme="majorHAnsi" w:cs="Euphemia"/>
          <w:sz w:val="22"/>
          <w:szCs w:val="22"/>
          <w:lang w:val="sr-Cyrl-CS"/>
        </w:rPr>
        <w:t>š</w:t>
      </w:r>
      <w:r w:rsidRPr="00A11057">
        <w:rPr>
          <w:rFonts w:asciiTheme="majorHAnsi" w:eastAsia="Calibri" w:hAnsiTheme="majorHAnsi"/>
          <w:sz w:val="22"/>
          <w:szCs w:val="22"/>
          <w:lang w:val="sr-Cyrl-CS"/>
        </w:rPr>
        <w:t>tine imaju odre</w:t>
      </w:r>
      <w:r w:rsidRPr="00A11057">
        <w:rPr>
          <w:rFonts w:asciiTheme="majorHAnsi" w:eastAsia="Calibri" w:hAnsiTheme="majorHAnsi" w:cs="Arial"/>
          <w:sz w:val="22"/>
          <w:szCs w:val="22"/>
          <w:lang w:val="sr-Cyrl-CS"/>
        </w:rPr>
        <w:t>đ</w:t>
      </w:r>
      <w:r w:rsidRPr="00A11057">
        <w:rPr>
          <w:rFonts w:asciiTheme="majorHAnsi" w:eastAsia="Calibri" w:hAnsiTheme="majorHAnsi"/>
          <w:sz w:val="22"/>
          <w:szCs w:val="22"/>
          <w:lang w:val="sr-Cyrl-CS"/>
        </w:rPr>
        <w:t>ene mehanizme za vr</w:t>
      </w:r>
      <w:r w:rsidRPr="00A11057">
        <w:rPr>
          <w:rFonts w:asciiTheme="majorHAnsi" w:eastAsia="Calibri" w:hAnsiTheme="majorHAnsi" w:cs="Euphemia"/>
          <w:sz w:val="22"/>
          <w:szCs w:val="22"/>
          <w:lang w:val="sr-Cyrl-CS"/>
        </w:rPr>
        <w:t>š</w:t>
      </w:r>
      <w:r w:rsidRPr="00A11057">
        <w:rPr>
          <w:rFonts w:asciiTheme="majorHAnsi" w:eastAsia="Calibri" w:hAnsiTheme="majorHAnsi"/>
          <w:sz w:val="22"/>
          <w:szCs w:val="22"/>
          <w:lang w:val="sr-Cyrl-CS"/>
        </w:rPr>
        <w:t xml:space="preserve">enje monitoringa.   </w:t>
      </w:r>
    </w:p>
    <w:p w:rsidR="004C2842" w:rsidRPr="00A11057" w:rsidRDefault="004C2842" w:rsidP="004C2842">
      <w:pPr>
        <w:spacing w:line="276" w:lineRule="auto"/>
        <w:jc w:val="both"/>
        <w:rPr>
          <w:rFonts w:asciiTheme="majorHAnsi" w:eastAsia="Calibri" w:hAnsiTheme="majorHAnsi"/>
          <w:sz w:val="22"/>
          <w:szCs w:val="22"/>
          <w:lang w:val="sr-Cyrl-CS"/>
        </w:rPr>
      </w:pPr>
    </w:p>
    <w:p w:rsidR="004C2842" w:rsidRPr="00A11057" w:rsidRDefault="004C2842" w:rsidP="004C2842">
      <w:pPr>
        <w:spacing w:line="276" w:lineRule="auto"/>
        <w:jc w:val="both"/>
        <w:rPr>
          <w:rFonts w:asciiTheme="majorHAnsi" w:eastAsia="Calibri" w:hAnsiTheme="majorHAnsi"/>
          <w:sz w:val="22"/>
          <w:szCs w:val="22"/>
          <w:lang w:val="sr-Cyrl-CS"/>
        </w:rPr>
      </w:pPr>
      <w:r w:rsidRPr="00A11057">
        <w:rPr>
          <w:rFonts w:asciiTheme="majorHAnsi" w:eastAsia="Calibri" w:hAnsiTheme="majorHAnsi"/>
          <w:sz w:val="22"/>
          <w:szCs w:val="22"/>
          <w:lang w:val="sr-Cyrl-CS"/>
        </w:rPr>
        <w:t>Iako postoji praksa postavljanja poslaničkih pitanja Vladi i ministrima, Skupština još uvek ne poziva na odgovornost ministre koji su načinili propuste u sprovođenju za</w:t>
      </w:r>
      <w:bookmarkStart w:id="2" w:name="_GoBack"/>
      <w:bookmarkEnd w:id="2"/>
      <w:r w:rsidRPr="00A11057">
        <w:rPr>
          <w:rFonts w:asciiTheme="majorHAnsi" w:eastAsia="Calibri" w:hAnsiTheme="majorHAnsi"/>
          <w:sz w:val="22"/>
          <w:szCs w:val="22"/>
          <w:lang w:val="sr-Cyrl-CS"/>
        </w:rPr>
        <w:t>kona, strateških akata ili skupštinskih zaključaka. Lična odgovornost ministara nije bila tema diskusije tokom procesa rekonstrukcije vlade, jer su podneli ostavku, a nisu razrešavani. Skupština je obrazovala Odbor za ispitivanje korišćenja budžetskih sredstava Srbije za Kosovo i Metohiju, za period između 2000. i 2012. godine, koji je do sada imao 10 sednica.</w:t>
      </w:r>
    </w:p>
    <w:p w:rsidR="004C2842" w:rsidRPr="00A11057" w:rsidRDefault="004C2842" w:rsidP="004C2842">
      <w:pPr>
        <w:spacing w:line="276" w:lineRule="auto"/>
        <w:jc w:val="both"/>
        <w:rPr>
          <w:rFonts w:asciiTheme="majorHAnsi" w:eastAsia="Calibri" w:hAnsiTheme="majorHAnsi"/>
          <w:sz w:val="22"/>
          <w:szCs w:val="22"/>
          <w:lang w:val="sr-Cyrl-CS"/>
        </w:rPr>
      </w:pPr>
    </w:p>
    <w:p w:rsidR="004C2842" w:rsidRPr="00A11057" w:rsidRDefault="004C2842" w:rsidP="004C2842">
      <w:pPr>
        <w:spacing w:line="276" w:lineRule="auto"/>
        <w:jc w:val="both"/>
        <w:rPr>
          <w:rFonts w:asciiTheme="majorHAnsi" w:eastAsia="Calibri" w:hAnsiTheme="majorHAnsi"/>
          <w:sz w:val="22"/>
          <w:szCs w:val="22"/>
          <w:lang w:val="sr-Cyrl-CS"/>
        </w:rPr>
      </w:pPr>
      <w:r w:rsidRPr="00A11057">
        <w:rPr>
          <w:rFonts w:asciiTheme="majorHAnsi" w:eastAsia="Calibri" w:hAnsiTheme="majorHAnsi"/>
          <w:sz w:val="22"/>
          <w:szCs w:val="22"/>
          <w:lang w:val="sr-Cyrl-CS"/>
        </w:rPr>
        <w:lastRenderedPageBreak/>
        <w:t xml:space="preserve">Skupština je ispunila svoju </w:t>
      </w:r>
      <w:r w:rsidRPr="00A11057">
        <w:rPr>
          <w:rFonts w:asciiTheme="majorHAnsi" w:eastAsia="Calibri" w:hAnsiTheme="majorHAnsi"/>
          <w:b/>
          <w:sz w:val="22"/>
          <w:szCs w:val="22"/>
          <w:lang w:val="sr-Cyrl-CS"/>
        </w:rPr>
        <w:t>izbornu funkciju</w:t>
      </w:r>
      <w:r w:rsidRPr="00A11057">
        <w:rPr>
          <w:rFonts w:asciiTheme="majorHAnsi" w:eastAsia="Calibri" w:hAnsiTheme="majorHAnsi"/>
          <w:sz w:val="22"/>
          <w:szCs w:val="22"/>
          <w:lang w:val="sr-Cyrl-CS"/>
        </w:rPr>
        <w:t xml:space="preserve">, većim delom u roku ili sa malim zakašnjenjem: ponovno imenovanje Zaštitnika građana, izbor članova odbora Agencije za borbu protiv korupcije, i izbor članova Komisije za zaštitu prava ponuđača. </w:t>
      </w:r>
    </w:p>
    <w:p w:rsidR="004C2842" w:rsidRPr="00A11057" w:rsidRDefault="004C2842" w:rsidP="004C2842">
      <w:pPr>
        <w:spacing w:line="276" w:lineRule="auto"/>
        <w:jc w:val="both"/>
        <w:rPr>
          <w:rFonts w:asciiTheme="majorHAnsi" w:eastAsia="Calibri" w:hAnsiTheme="majorHAnsi"/>
          <w:sz w:val="22"/>
          <w:szCs w:val="22"/>
          <w:lang w:val="sr-Cyrl-CS"/>
        </w:rPr>
      </w:pPr>
    </w:p>
    <w:p w:rsidR="004C2842" w:rsidRPr="00A11057" w:rsidRDefault="004C2842" w:rsidP="004C2842">
      <w:pPr>
        <w:spacing w:line="276" w:lineRule="auto"/>
        <w:jc w:val="both"/>
        <w:outlineLvl w:val="3"/>
        <w:rPr>
          <w:rFonts w:asciiTheme="majorHAnsi" w:eastAsia="Calibri" w:hAnsiTheme="majorHAnsi"/>
          <w:b/>
          <w:i/>
          <w:sz w:val="22"/>
          <w:szCs w:val="22"/>
          <w:lang w:val="sr-Cyrl-CS"/>
        </w:rPr>
      </w:pPr>
      <w:r w:rsidRPr="00A11057">
        <w:rPr>
          <w:rFonts w:asciiTheme="majorHAnsi" w:eastAsia="Calibri" w:hAnsiTheme="majorHAnsi"/>
          <w:b/>
          <w:i/>
          <w:sz w:val="22"/>
          <w:szCs w:val="22"/>
          <w:lang w:val="sr-Cyrl-CS"/>
        </w:rPr>
        <w:t>Vlada</w:t>
      </w:r>
    </w:p>
    <w:p w:rsidR="004C2842" w:rsidRPr="00A11057" w:rsidRDefault="004C2842" w:rsidP="004C2842">
      <w:pPr>
        <w:spacing w:line="276" w:lineRule="auto"/>
        <w:jc w:val="both"/>
        <w:rPr>
          <w:rFonts w:asciiTheme="majorHAnsi" w:eastAsia="Calibri" w:hAnsiTheme="majorHAnsi"/>
          <w:sz w:val="22"/>
          <w:szCs w:val="22"/>
          <w:lang w:val="sr-Cyrl-CS"/>
        </w:rPr>
      </w:pPr>
    </w:p>
    <w:p w:rsidR="004C2842" w:rsidRPr="00A11057" w:rsidRDefault="004C2842" w:rsidP="004C2842">
      <w:pPr>
        <w:spacing w:line="276" w:lineRule="auto"/>
        <w:jc w:val="both"/>
        <w:rPr>
          <w:rFonts w:asciiTheme="majorHAnsi" w:eastAsia="Calibri" w:hAnsiTheme="majorHAnsi"/>
          <w:sz w:val="22"/>
          <w:szCs w:val="22"/>
          <w:lang w:val="sr-Cyrl-CS"/>
        </w:rPr>
      </w:pPr>
      <w:r w:rsidRPr="00A11057">
        <w:rPr>
          <w:rFonts w:asciiTheme="majorHAnsi" w:eastAsia="Calibri" w:hAnsiTheme="majorHAnsi"/>
          <w:sz w:val="22"/>
          <w:szCs w:val="22"/>
          <w:lang w:val="sr-Cyrl-CS"/>
        </w:rPr>
        <w:t xml:space="preserve">Vlada je postavila borbu protiv korupcije </w:t>
      </w:r>
      <w:r w:rsidRPr="00A11057">
        <w:rPr>
          <w:rFonts w:asciiTheme="majorHAnsi" w:eastAsia="Calibri" w:hAnsiTheme="majorHAnsi"/>
          <w:b/>
          <w:sz w:val="22"/>
          <w:szCs w:val="22"/>
          <w:lang w:val="sr-Cyrl-CS"/>
        </w:rPr>
        <w:t>među najviše prioritete</w:t>
      </w:r>
      <w:r w:rsidRPr="00A11057">
        <w:rPr>
          <w:rFonts w:asciiTheme="majorHAnsi" w:eastAsia="Calibri" w:hAnsiTheme="majorHAnsi"/>
          <w:sz w:val="22"/>
          <w:szCs w:val="22"/>
          <w:lang w:val="sr-Cyrl-CS"/>
        </w:rPr>
        <w:t xml:space="preserve"> i imenovala prvog potpredsednika Vlade, A. Vučića, kao nadležnog za ovu oblast. Međutim, plan Vlade za borbu protiv korupcije nije u potpunosti razvijen a ni mnogi delovi „Koalicionog sporazuma“ vladajuće koalicije nisu jasni. Nacionalna strategija za borbu protiv korupcije i prateći Akcioni plan postavljaju neke elemente antikorupcijske politike za period 2013 – 2018. godine, ali se ne osvrću na sve aspekte rada Vlade, kao što su transparentnost i diskrecija u procesu donošenja odluka. </w:t>
      </w:r>
      <w:r w:rsidRPr="00A11057">
        <w:rPr>
          <w:rFonts w:asciiTheme="majorHAnsi" w:eastAsia="Calibri" w:hAnsiTheme="majorHAnsi"/>
          <w:b/>
          <w:sz w:val="22"/>
          <w:szCs w:val="22"/>
          <w:lang w:val="sr-Cyrl-CS"/>
        </w:rPr>
        <w:t>Ovlašćenja</w:t>
      </w:r>
      <w:r w:rsidRPr="00A11057">
        <w:rPr>
          <w:rFonts w:asciiTheme="majorHAnsi" w:eastAsia="Calibri" w:hAnsiTheme="majorHAnsi"/>
          <w:sz w:val="22"/>
          <w:szCs w:val="22"/>
          <w:lang w:val="sr-Cyrl-CS"/>
        </w:rPr>
        <w:t xml:space="preserve"> prvog potpredsednika Vlade (ujedno i lidera najjače političke partije) u borbi protiv korupcije </w:t>
      </w:r>
      <w:r w:rsidRPr="00A11057">
        <w:rPr>
          <w:rFonts w:asciiTheme="majorHAnsi" w:eastAsia="Calibri" w:hAnsiTheme="majorHAnsi"/>
          <w:b/>
          <w:sz w:val="22"/>
          <w:szCs w:val="22"/>
          <w:lang w:val="sr-Cyrl-CS"/>
        </w:rPr>
        <w:t>nisu jasno definisana</w:t>
      </w:r>
      <w:r w:rsidRPr="00A11057">
        <w:rPr>
          <w:rFonts w:asciiTheme="majorHAnsi" w:eastAsia="Calibri" w:hAnsiTheme="majorHAnsi"/>
          <w:sz w:val="22"/>
          <w:szCs w:val="22"/>
          <w:lang w:val="sr-Cyrl-CS"/>
        </w:rPr>
        <w:t xml:space="preserve">, dok postoje jasna ovlašćenja koje ista osoba ima kao koordinator obaveštajnih službi. </w:t>
      </w:r>
    </w:p>
    <w:p w:rsidR="004C2842" w:rsidRPr="00A11057" w:rsidRDefault="004C2842" w:rsidP="004C2842">
      <w:pPr>
        <w:spacing w:line="276" w:lineRule="auto"/>
        <w:jc w:val="both"/>
        <w:rPr>
          <w:rFonts w:asciiTheme="majorHAnsi" w:eastAsia="Calibri" w:hAnsiTheme="majorHAnsi"/>
          <w:sz w:val="22"/>
          <w:szCs w:val="22"/>
          <w:lang w:val="sr-Cyrl-CS"/>
        </w:rPr>
      </w:pPr>
    </w:p>
    <w:p w:rsidR="004C2842" w:rsidRPr="00A11057" w:rsidRDefault="004C2842" w:rsidP="004C2842">
      <w:pPr>
        <w:spacing w:line="276" w:lineRule="auto"/>
        <w:jc w:val="both"/>
        <w:rPr>
          <w:rFonts w:asciiTheme="majorHAnsi" w:eastAsia="Calibri" w:hAnsiTheme="majorHAnsi"/>
          <w:sz w:val="22"/>
          <w:szCs w:val="22"/>
          <w:lang w:val="sr-Cyrl-CS"/>
        </w:rPr>
      </w:pPr>
      <w:r w:rsidRPr="00A11057">
        <w:rPr>
          <w:rFonts w:asciiTheme="majorHAnsi" w:eastAsia="Calibri" w:hAnsiTheme="majorHAnsi"/>
          <w:sz w:val="22"/>
          <w:szCs w:val="22"/>
          <w:lang w:val="sr-Cyrl-CS"/>
        </w:rPr>
        <w:t xml:space="preserve">Vladin Savet za borbu protiv korupcije priprema izveštaje. Prethodni izveštaji Saveta se sada koriste za istragu organa gonjenja i čini se da je to posledica političke volje. Međutim, nije uspostavljen mehanizam koji bi raspravljao o budućim izveštajima ovog tela. </w:t>
      </w:r>
    </w:p>
    <w:p w:rsidR="004C2842" w:rsidRPr="00A11057" w:rsidRDefault="004C2842" w:rsidP="004C2842">
      <w:pPr>
        <w:spacing w:line="276" w:lineRule="auto"/>
        <w:jc w:val="both"/>
        <w:rPr>
          <w:rFonts w:asciiTheme="majorHAnsi" w:eastAsia="Calibri" w:hAnsiTheme="majorHAnsi"/>
          <w:sz w:val="22"/>
          <w:szCs w:val="22"/>
          <w:lang w:val="sr-Cyrl-CS"/>
        </w:rPr>
      </w:pPr>
    </w:p>
    <w:p w:rsidR="004C2842" w:rsidRPr="00A11057" w:rsidRDefault="004C2842" w:rsidP="004C2842">
      <w:pPr>
        <w:spacing w:line="276" w:lineRule="auto"/>
        <w:jc w:val="both"/>
        <w:rPr>
          <w:rFonts w:asciiTheme="majorHAnsi" w:eastAsia="Calibri" w:hAnsiTheme="majorHAnsi"/>
          <w:sz w:val="22"/>
          <w:szCs w:val="22"/>
          <w:lang w:val="sr-Cyrl-CS"/>
        </w:rPr>
      </w:pPr>
      <w:r w:rsidRPr="00A11057">
        <w:rPr>
          <w:rFonts w:asciiTheme="majorHAnsi" w:eastAsia="Calibri" w:hAnsiTheme="majorHAnsi"/>
          <w:sz w:val="22"/>
          <w:szCs w:val="22"/>
          <w:lang w:val="sr-Cyrl-CS"/>
        </w:rPr>
        <w:t xml:space="preserve">Vlada </w:t>
      </w:r>
      <w:r w:rsidRPr="00A11057">
        <w:rPr>
          <w:rFonts w:asciiTheme="majorHAnsi" w:eastAsia="Calibri" w:hAnsiTheme="majorHAnsi"/>
          <w:b/>
          <w:sz w:val="22"/>
          <w:szCs w:val="22"/>
          <w:lang w:val="sr-Cyrl-CS"/>
        </w:rPr>
        <w:t>nije unapredila transparentnost sopstvenog rada</w:t>
      </w:r>
      <w:r w:rsidRPr="00A11057">
        <w:rPr>
          <w:rFonts w:asciiTheme="majorHAnsi" w:eastAsia="Calibri" w:hAnsiTheme="majorHAnsi"/>
          <w:sz w:val="22"/>
          <w:szCs w:val="22"/>
          <w:lang w:val="sr-Cyrl-CS"/>
        </w:rPr>
        <w:t xml:space="preserve"> (zapisnici sa sednica se i dalje tretiraju kao „službena tajna”), ali postoji blagi napredak u broju organizovanih javnih rasprava u zakonodavnom postupku, od strane nadležnih ministarstava. Neki bitni akti su, pak, predloženi bez takve rasprave (kao što je Zakon o budžetskom sistemu), a slaba praksa javnih rasprava je nastavljena čak i nakon izmene Poslovnika Vlade.</w:t>
      </w:r>
    </w:p>
    <w:p w:rsidR="004C2842" w:rsidRPr="00A11057" w:rsidRDefault="004C2842" w:rsidP="004C2842">
      <w:pPr>
        <w:spacing w:line="276" w:lineRule="auto"/>
        <w:jc w:val="both"/>
        <w:rPr>
          <w:rFonts w:asciiTheme="majorHAnsi" w:eastAsia="Calibri" w:hAnsiTheme="majorHAnsi"/>
          <w:sz w:val="22"/>
          <w:szCs w:val="22"/>
          <w:lang w:val="sr-Cyrl-CS"/>
        </w:rPr>
      </w:pPr>
    </w:p>
    <w:p w:rsidR="004C2842" w:rsidRPr="00A11057" w:rsidRDefault="004C2842" w:rsidP="004C2842">
      <w:pPr>
        <w:spacing w:line="276" w:lineRule="auto"/>
        <w:jc w:val="both"/>
        <w:rPr>
          <w:rFonts w:asciiTheme="majorHAnsi" w:eastAsia="Calibri" w:hAnsiTheme="majorHAnsi"/>
          <w:sz w:val="22"/>
          <w:szCs w:val="22"/>
          <w:lang w:val="sr-Cyrl-CS"/>
        </w:rPr>
      </w:pPr>
      <w:r w:rsidRPr="00A11057">
        <w:rPr>
          <w:rFonts w:asciiTheme="majorHAnsi" w:eastAsia="Calibri" w:hAnsiTheme="majorHAnsi"/>
          <w:sz w:val="22"/>
          <w:szCs w:val="22"/>
          <w:lang w:val="sr-Cyrl-CS"/>
        </w:rPr>
        <w:t xml:space="preserve">Vlada je predložila nekoliko važnih zakona, i inicirala </w:t>
      </w:r>
      <w:r w:rsidRPr="00A11057">
        <w:rPr>
          <w:rFonts w:asciiTheme="majorHAnsi" w:eastAsia="Calibri" w:hAnsiTheme="majorHAnsi"/>
          <w:b/>
          <w:sz w:val="22"/>
          <w:szCs w:val="22"/>
          <w:lang w:val="sr-Cyrl-CS"/>
        </w:rPr>
        <w:t>izmene Poslovnika Vlade</w:t>
      </w:r>
      <w:r w:rsidRPr="00A11057">
        <w:rPr>
          <w:rFonts w:asciiTheme="majorHAnsi" w:eastAsia="Calibri" w:hAnsiTheme="majorHAnsi"/>
          <w:sz w:val="22"/>
          <w:szCs w:val="22"/>
          <w:lang w:val="sr-Cyrl-CS"/>
        </w:rPr>
        <w:t xml:space="preserve"> koji bi mogli da poboljšaju situaciju u vezi sa javnim raspravama. Ministarstvo pravde i državne uprave pripremilo je nacrt Strategije za reformu javne uprave i Strategije za reformu pravosuđa.  </w:t>
      </w:r>
    </w:p>
    <w:p w:rsidR="004C2842" w:rsidRPr="00A11057" w:rsidRDefault="004C2842" w:rsidP="004C2842">
      <w:pPr>
        <w:spacing w:line="276" w:lineRule="auto"/>
        <w:jc w:val="both"/>
        <w:outlineLvl w:val="3"/>
        <w:rPr>
          <w:rFonts w:asciiTheme="majorHAnsi" w:eastAsia="Calibri" w:hAnsiTheme="majorHAnsi"/>
          <w:b/>
          <w:i/>
          <w:sz w:val="22"/>
          <w:szCs w:val="22"/>
          <w:lang w:val="sr-Cyrl-CS"/>
        </w:rPr>
      </w:pPr>
    </w:p>
    <w:p w:rsidR="004C2842" w:rsidRPr="00A11057" w:rsidRDefault="004C2842" w:rsidP="004C2842">
      <w:pPr>
        <w:spacing w:line="276" w:lineRule="auto"/>
        <w:jc w:val="both"/>
        <w:outlineLvl w:val="3"/>
        <w:rPr>
          <w:rFonts w:asciiTheme="majorHAnsi" w:eastAsia="Calibri" w:hAnsiTheme="majorHAnsi"/>
          <w:b/>
          <w:i/>
          <w:sz w:val="22"/>
          <w:szCs w:val="22"/>
          <w:lang w:val="sr-Cyrl-CS"/>
        </w:rPr>
      </w:pPr>
      <w:r w:rsidRPr="00A11057">
        <w:rPr>
          <w:rFonts w:asciiTheme="majorHAnsi" w:eastAsia="Calibri" w:hAnsiTheme="majorHAnsi"/>
          <w:b/>
          <w:i/>
          <w:sz w:val="22"/>
          <w:szCs w:val="22"/>
          <w:lang w:val="sr-Cyrl-CS"/>
        </w:rPr>
        <w:t xml:space="preserve">Javna uprava </w:t>
      </w:r>
    </w:p>
    <w:p w:rsidR="004C2842" w:rsidRPr="00A11057" w:rsidRDefault="004C2842" w:rsidP="004C2842">
      <w:pPr>
        <w:spacing w:line="276" w:lineRule="auto"/>
        <w:jc w:val="both"/>
        <w:rPr>
          <w:rFonts w:asciiTheme="majorHAnsi" w:eastAsia="Calibri" w:hAnsiTheme="majorHAnsi"/>
          <w:sz w:val="22"/>
          <w:szCs w:val="22"/>
          <w:lang w:val="sr-Cyrl-CS"/>
        </w:rPr>
      </w:pPr>
    </w:p>
    <w:p w:rsidR="004C2842" w:rsidRPr="00A11057" w:rsidRDefault="004C2842" w:rsidP="004C2842">
      <w:pPr>
        <w:spacing w:line="276" w:lineRule="auto"/>
        <w:jc w:val="both"/>
        <w:rPr>
          <w:rFonts w:asciiTheme="majorHAnsi" w:eastAsia="Calibri" w:hAnsiTheme="majorHAnsi"/>
          <w:sz w:val="22"/>
          <w:szCs w:val="22"/>
          <w:lang w:val="sr-Cyrl-CS"/>
        </w:rPr>
      </w:pPr>
      <w:r w:rsidRPr="00A11057">
        <w:rPr>
          <w:rFonts w:asciiTheme="majorHAnsi" w:eastAsia="Calibri" w:hAnsiTheme="majorHAnsi"/>
          <w:b/>
          <w:sz w:val="22"/>
          <w:szCs w:val="22"/>
          <w:lang w:val="sr-Cyrl-CS"/>
        </w:rPr>
        <w:t>Nije bilo značajnih promena u radu državne uprave,</w:t>
      </w:r>
      <w:r w:rsidRPr="00A11057">
        <w:rPr>
          <w:rFonts w:asciiTheme="majorHAnsi" w:eastAsia="Calibri" w:hAnsiTheme="majorHAnsi"/>
          <w:sz w:val="22"/>
          <w:szCs w:val="22"/>
          <w:lang w:val="sr-Cyrl-CS"/>
        </w:rPr>
        <w:t xml:space="preserve"> a nova Strategija državne uprave je u pripremi. </w:t>
      </w:r>
      <w:r w:rsidRPr="00A11057">
        <w:rPr>
          <w:rFonts w:asciiTheme="majorHAnsi" w:eastAsia="Calibri" w:hAnsiTheme="majorHAnsi"/>
          <w:b/>
          <w:sz w:val="22"/>
          <w:szCs w:val="22"/>
          <w:lang w:val="sr-Cyrl-CS"/>
        </w:rPr>
        <w:t>Ne postoji jasna politika</w:t>
      </w:r>
      <w:r w:rsidRPr="00A11057">
        <w:rPr>
          <w:rFonts w:asciiTheme="majorHAnsi" w:eastAsia="Calibri" w:hAnsiTheme="majorHAnsi"/>
          <w:sz w:val="22"/>
          <w:szCs w:val="22"/>
          <w:lang w:val="sr-Cyrl-CS"/>
        </w:rPr>
        <w:t xml:space="preserve"> u vezi sa uspostavljanjem i funkcijama koje treba da vrše razne vrste organizacija unutar javnog sektora (npr. javne agencije). Nakon početnih najava ukidanja velikog broja „agencija“, neke od njih su samo inkororirane u resorna ministarstva. I dalje, sa stanovišta borbe protiv korupcije, nije adekvatno zakonodavstvo u oblasti zapošljavanja u različitim delovima javnog sektora (lokalna uprava, zdravstvo, </w:t>
      </w:r>
      <w:r w:rsidRPr="00A11057">
        <w:rPr>
          <w:rFonts w:asciiTheme="majorHAnsi" w:eastAsia="Calibri" w:hAnsiTheme="majorHAnsi"/>
          <w:sz w:val="22"/>
          <w:szCs w:val="22"/>
          <w:lang w:val="sr-Cyrl-CS"/>
        </w:rPr>
        <w:lastRenderedPageBreak/>
        <w:t>kultura i obrazovanje, javna preduzeća). Vlada je zadržala značajan uticaj na imenovanja u javnim preduzećima, čak i nakon izmena odgovarajućeg zakonodavstva (mogućnost izbora između tri kandidata ili mogućnost da ne odabere nijednog kandidata sa konkursa). Najavljena je reforma javne uprave, i izrađen je nacrt Strategije. Rad državne uprave, javnih službi, javnih preduzeća i lokalnih uprava i dalje ostaje pod neprimerenim uticajem politike. Još uvek nije postignut dovoljan stepen transparentnosti procesa donošenja odluka, naročito kada se radi o ekonomskim odlukama Vlade.</w:t>
      </w:r>
    </w:p>
    <w:p w:rsidR="004C2842" w:rsidRPr="00A11057" w:rsidRDefault="004C2842" w:rsidP="004C2842">
      <w:pPr>
        <w:spacing w:line="276" w:lineRule="auto"/>
        <w:jc w:val="both"/>
        <w:rPr>
          <w:rFonts w:asciiTheme="majorHAnsi" w:eastAsia="Calibri" w:hAnsiTheme="majorHAnsi"/>
          <w:sz w:val="22"/>
          <w:szCs w:val="22"/>
          <w:lang w:val="sr-Cyrl-CS"/>
        </w:rPr>
      </w:pPr>
    </w:p>
    <w:p w:rsidR="004C2842" w:rsidRPr="00A11057" w:rsidRDefault="004C2842" w:rsidP="004C2842">
      <w:pPr>
        <w:spacing w:line="276" w:lineRule="auto"/>
        <w:jc w:val="both"/>
        <w:rPr>
          <w:rFonts w:asciiTheme="majorHAnsi" w:eastAsia="Calibri" w:hAnsiTheme="majorHAnsi"/>
          <w:sz w:val="22"/>
          <w:szCs w:val="22"/>
          <w:lang w:val="sr-Cyrl-CS"/>
        </w:rPr>
      </w:pPr>
      <w:r w:rsidRPr="00A11057">
        <w:rPr>
          <w:rFonts w:asciiTheme="majorHAnsi" w:eastAsia="Calibri" w:hAnsiTheme="majorHAnsi"/>
          <w:b/>
          <w:i/>
          <w:sz w:val="22"/>
          <w:szCs w:val="22"/>
          <w:lang w:val="sr-Cyrl-CS"/>
        </w:rPr>
        <w:t>Nema napretka u primeni sistema zapošljavanja i unapređenja na osnovu zasluga.</w:t>
      </w:r>
      <w:r w:rsidRPr="00A11057">
        <w:rPr>
          <w:rFonts w:asciiTheme="majorHAnsi" w:eastAsia="Calibri" w:hAnsiTheme="majorHAnsi"/>
          <w:sz w:val="22"/>
          <w:szCs w:val="22"/>
          <w:lang w:val="sr-Cyrl-CS"/>
        </w:rPr>
        <w:t xml:space="preserve"> Jedna od najvažnijih karakteristika Zakona o državnim službenicima iz 2005. godine je trebalo da bude „depolitizacija” najviših funkcionera koji donose odluke u državnoj upravi (npr. pomoćnici ministara, sekretari ministarstava, direktori posebnih organizacija, načelnici okruga itd.). Kako bi se to postiglo, bilo koja buduća primena člana 179, koja omogućava pojedincu da bude imenovan bez javnog konkursa, trebalo je da bude onemogućena nakon 31. decembra 2010. godine. Međutim, nova Vlada Srbije je odlučila da ignoriše ovu činjenicu, i nastavi sa imenovanjem pojedinaca u skladu sa pomenutim članom. Prema izveštaju „Transparentnosti Srbije”, od 161 imenovanja Vlade, velika većina – 148 – je sprovedena u skladu sa „ranijim propisima“, čime su ova mesta i formalno ostala deo političkog plena</w:t>
      </w:r>
      <w:r w:rsidRPr="00475398">
        <w:rPr>
          <w:rFonts w:asciiTheme="majorHAnsi" w:eastAsia="Calibri" w:hAnsiTheme="majorHAnsi"/>
          <w:sz w:val="22"/>
          <w:szCs w:val="22"/>
          <w:vertAlign w:val="superscript"/>
          <w:lang w:val="sr-Cyrl-CS"/>
        </w:rPr>
        <w:footnoteReference w:id="2"/>
      </w:r>
      <w:r w:rsidRPr="00A11057">
        <w:rPr>
          <w:rFonts w:asciiTheme="majorHAnsi" w:eastAsia="Calibri" w:hAnsiTheme="majorHAnsi"/>
          <w:sz w:val="22"/>
          <w:szCs w:val="22"/>
          <w:lang w:val="sr-Cyrl-CS"/>
        </w:rPr>
        <w:t xml:space="preserve">. </w:t>
      </w:r>
    </w:p>
    <w:p w:rsidR="004C2842" w:rsidRPr="00A11057" w:rsidRDefault="004C2842" w:rsidP="004C2842">
      <w:pPr>
        <w:spacing w:line="276" w:lineRule="auto"/>
        <w:jc w:val="both"/>
        <w:rPr>
          <w:rFonts w:asciiTheme="majorHAnsi" w:eastAsia="Calibri" w:hAnsiTheme="majorHAnsi"/>
          <w:sz w:val="22"/>
          <w:szCs w:val="22"/>
          <w:lang w:val="sr-Cyrl-CS"/>
        </w:rPr>
      </w:pPr>
    </w:p>
    <w:p w:rsidR="004C2842" w:rsidRPr="00A11057" w:rsidRDefault="004C2842" w:rsidP="004C2842">
      <w:pPr>
        <w:spacing w:line="276" w:lineRule="auto"/>
        <w:jc w:val="both"/>
        <w:outlineLvl w:val="3"/>
        <w:rPr>
          <w:rFonts w:asciiTheme="majorHAnsi" w:eastAsia="Calibri" w:hAnsiTheme="majorHAnsi"/>
          <w:b/>
          <w:i/>
          <w:sz w:val="22"/>
          <w:szCs w:val="22"/>
          <w:lang w:val="sr-Cyrl-CS"/>
        </w:rPr>
      </w:pPr>
      <w:r w:rsidRPr="00A11057">
        <w:rPr>
          <w:rFonts w:asciiTheme="majorHAnsi" w:eastAsia="Calibri" w:hAnsiTheme="majorHAnsi"/>
          <w:b/>
          <w:i/>
          <w:sz w:val="22"/>
          <w:szCs w:val="22"/>
          <w:lang w:val="sr-Cyrl-CS"/>
        </w:rPr>
        <w:t>Politika borbe protiv korupcije</w:t>
      </w:r>
    </w:p>
    <w:p w:rsidR="004C2842" w:rsidRPr="00A11057" w:rsidRDefault="004C2842" w:rsidP="004C2842">
      <w:pPr>
        <w:spacing w:line="276" w:lineRule="auto"/>
        <w:jc w:val="both"/>
        <w:rPr>
          <w:rFonts w:asciiTheme="majorHAnsi" w:eastAsia="Calibri" w:hAnsiTheme="majorHAnsi"/>
          <w:sz w:val="22"/>
          <w:szCs w:val="22"/>
          <w:highlight w:val="yellow"/>
          <w:lang w:val="sr-Cyrl-CS"/>
        </w:rPr>
      </w:pPr>
    </w:p>
    <w:p w:rsidR="004C2842" w:rsidRPr="00A11057" w:rsidRDefault="004C2842" w:rsidP="004C2842">
      <w:pPr>
        <w:spacing w:line="276" w:lineRule="auto"/>
        <w:jc w:val="both"/>
        <w:rPr>
          <w:rFonts w:asciiTheme="majorHAnsi" w:eastAsia="Calibri" w:hAnsiTheme="majorHAnsi"/>
          <w:sz w:val="22"/>
          <w:szCs w:val="22"/>
          <w:lang w:val="sr-Cyrl-CS"/>
        </w:rPr>
      </w:pPr>
      <w:r w:rsidRPr="00A11057">
        <w:rPr>
          <w:rFonts w:asciiTheme="majorHAnsi" w:eastAsia="Calibri" w:hAnsiTheme="majorHAnsi"/>
          <w:b/>
          <w:sz w:val="22"/>
          <w:szCs w:val="22"/>
          <w:lang w:val="sr-Cyrl-CS"/>
        </w:rPr>
        <w:t>Srbija je ostvarila ograničeni napredak u borbi protiv korupcije.</w:t>
      </w:r>
      <w:r w:rsidRPr="00A11057">
        <w:rPr>
          <w:rFonts w:asciiTheme="majorHAnsi" w:eastAsia="Calibri" w:hAnsiTheme="majorHAnsi"/>
          <w:sz w:val="22"/>
          <w:szCs w:val="22"/>
          <w:lang w:val="sr-Cyrl-CS"/>
        </w:rPr>
        <w:t xml:space="preserve"> Politička posvećenost nove Vlade ovom pitanju je, kako se čini, najviše uticala na sprovođenje istraga u slučajevima u kojima postoji dugogodišnja sumnja na korupciju, uglavnom u onim koji su pokriveni prethodnim izveštajima Saveta za borbu protiv korupcije (tzv. „24 privatizacije“), ili u vezi sa drugim zloupotrebama (npr. u radu banaka u državnom vlasništvu). Ovlašćenja vodeće osobe u borbi protiv korupcije, prvog potpredsednika Vlade, nisu jasno regulisana. Slučajeve korupcije istražuju specijalne „radne grupe”, čiji odnos sa </w:t>
      </w:r>
      <w:r w:rsidRPr="00A11057">
        <w:rPr>
          <w:rFonts w:asciiTheme="majorHAnsi" w:eastAsia="Calibri" w:hAnsiTheme="majorHAnsi"/>
          <w:i/>
          <w:sz w:val="22"/>
          <w:szCs w:val="22"/>
          <w:lang w:val="sr-Cyrl-CS"/>
        </w:rPr>
        <w:t>Biroom za koordinaciju obaveštajnih službi</w:t>
      </w:r>
      <w:r w:rsidRPr="00A11057">
        <w:rPr>
          <w:rFonts w:asciiTheme="majorHAnsi" w:eastAsia="Calibri" w:hAnsiTheme="majorHAnsi"/>
          <w:sz w:val="22"/>
          <w:szCs w:val="22"/>
          <w:lang w:val="sr-Cyrl-CS"/>
        </w:rPr>
        <w:t xml:space="preserve"> (kao i ovlašćenja samog Biroa za antikorupcijska pitanja) ostaje nejasan, a prvi potpredsednik Vlade i ministri su u nekoliko navrata najavljivali otvaranje istraga, iznosili detalje iz istraga i rokove u kojima će se one okončati. Nije bilo promena u organizaciji policije i tužilaštva za borbu protiv korupcije. O takvim promenama, i pored očiglednog odstupanja u ustrojstvu i načinu funkcionisanja represivnog državnog aparata u praksi, ništa ne govori ni nedavno usvojena antikorupcijska strategija. Važnost koja se pridaje borbi protiv korupcije u govorima predstavnika Vlade, hapšenja ili istragama koje se vode protiv osoba sa velikim uticajem (kao što su bivši ministri i tajkuni) značajno podiže </w:t>
      </w:r>
      <w:r w:rsidRPr="00A11057">
        <w:rPr>
          <w:rFonts w:asciiTheme="majorHAnsi" w:eastAsia="Calibri" w:hAnsiTheme="majorHAnsi"/>
          <w:sz w:val="22"/>
          <w:szCs w:val="22"/>
          <w:lang w:val="sr-Cyrl-CS"/>
        </w:rPr>
        <w:lastRenderedPageBreak/>
        <w:t xml:space="preserve">očekivanja javnosti i verovatno utiče na neke potencijalne učesnike u korupciji da ne uzmu učešće u sličnim radnjama. Međutim, još uvek </w:t>
      </w:r>
      <w:r w:rsidRPr="00A11057">
        <w:rPr>
          <w:rFonts w:asciiTheme="majorHAnsi" w:eastAsia="Calibri" w:hAnsiTheme="majorHAnsi"/>
          <w:b/>
          <w:sz w:val="22"/>
          <w:szCs w:val="22"/>
          <w:lang w:val="sr-Cyrl-CS"/>
        </w:rPr>
        <w:t>nema sistemskih promena koje bi garantovale održivost</w:t>
      </w:r>
      <w:r w:rsidRPr="00A11057">
        <w:rPr>
          <w:rFonts w:asciiTheme="majorHAnsi" w:eastAsia="Calibri" w:hAnsiTheme="majorHAnsi"/>
          <w:sz w:val="22"/>
          <w:szCs w:val="22"/>
          <w:lang w:val="sr-Cyrl-CS"/>
        </w:rPr>
        <w:t xml:space="preserve"> borbe protiv korupcije u budućnosti. Kvalitet aktuelnih istraga i optužnica tek treba da se pokaže u sudskim procesima a neselektivnost u borbi protiv korupcije kroz razotkrivanje i kažnjavanje korupcije koje ne potiču iz mandata prethodnih Vlada.   </w:t>
      </w:r>
    </w:p>
    <w:p w:rsidR="004C2842" w:rsidRPr="00A11057" w:rsidRDefault="004C2842" w:rsidP="004C2842">
      <w:pPr>
        <w:spacing w:line="276" w:lineRule="auto"/>
        <w:jc w:val="both"/>
        <w:rPr>
          <w:rFonts w:asciiTheme="majorHAnsi" w:eastAsia="Calibri" w:hAnsiTheme="majorHAnsi"/>
          <w:sz w:val="22"/>
          <w:szCs w:val="22"/>
          <w:lang w:val="sr-Cyrl-CS"/>
        </w:rPr>
      </w:pPr>
    </w:p>
    <w:p w:rsidR="004C2842" w:rsidRPr="00A11057" w:rsidRDefault="004C2842" w:rsidP="004C2842">
      <w:pPr>
        <w:spacing w:line="276" w:lineRule="auto"/>
        <w:jc w:val="both"/>
        <w:rPr>
          <w:rFonts w:asciiTheme="majorHAnsi" w:eastAsia="Calibri" w:hAnsiTheme="majorHAnsi"/>
          <w:sz w:val="22"/>
          <w:szCs w:val="22"/>
          <w:lang w:val="sr-Cyrl-CS"/>
        </w:rPr>
      </w:pPr>
      <w:r w:rsidRPr="00A11057">
        <w:rPr>
          <w:rFonts w:asciiTheme="majorHAnsi" w:eastAsia="Calibri" w:hAnsiTheme="majorHAnsi"/>
          <w:b/>
          <w:sz w:val="22"/>
          <w:szCs w:val="22"/>
          <w:lang w:val="sr-Cyrl-CS"/>
        </w:rPr>
        <w:t>Nova Strategija za borbu protiv korupcije i prateći Akcioni plan</w:t>
      </w:r>
      <w:r w:rsidRPr="00A11057">
        <w:rPr>
          <w:rFonts w:asciiTheme="majorHAnsi" w:eastAsia="Calibri" w:hAnsiTheme="majorHAnsi"/>
          <w:sz w:val="22"/>
          <w:szCs w:val="22"/>
          <w:lang w:val="sr-Cyrl-CS"/>
        </w:rPr>
        <w:t xml:space="preserve"> su usvojeni u junu, odnosno avgustu 2013. godine, i predviđaju značajna zakonska poboljšanja. Naročito je značajno to što se predviđa kontrola korupcionih rizika u novim propisima, poboljšanje normi o sukobu interesa i finansiranju političkih stranaka, veća javnost procesa donošenja odluka, zaštita uzbunjivača, bolja organizacija policije, mehanizam za praćenje preporuka nezavisnih antikorupcijskih organa i snažniji nadzor. Međutim, </w:t>
      </w:r>
      <w:r w:rsidRPr="00A11057">
        <w:rPr>
          <w:rFonts w:asciiTheme="majorHAnsi" w:eastAsia="Calibri" w:hAnsiTheme="majorHAnsi"/>
          <w:b/>
          <w:sz w:val="22"/>
          <w:szCs w:val="22"/>
          <w:lang w:val="sr-Cyrl-CS"/>
        </w:rPr>
        <w:t>Strategija ne pruža adekvatan odgovor na mnoga važna pitanja</w:t>
      </w:r>
      <w:r w:rsidRPr="00475398">
        <w:rPr>
          <w:rFonts w:asciiTheme="majorHAnsi" w:eastAsia="Calibri" w:hAnsiTheme="majorHAnsi"/>
          <w:b/>
          <w:sz w:val="22"/>
          <w:szCs w:val="22"/>
          <w:vertAlign w:val="superscript"/>
          <w:lang w:val="sr-Cyrl-CS"/>
        </w:rPr>
        <w:footnoteReference w:id="3"/>
      </w:r>
      <w:r w:rsidRPr="00A11057">
        <w:rPr>
          <w:rFonts w:asciiTheme="majorHAnsi" w:eastAsia="Calibri" w:hAnsiTheme="majorHAnsi"/>
          <w:sz w:val="22"/>
          <w:szCs w:val="22"/>
          <w:lang w:val="sr-Cyrl-CS"/>
        </w:rPr>
        <w:t xml:space="preserve">. Vlada, koja je otpočela mandat u julu 2012. </w:t>
      </w:r>
      <w:r w:rsidRPr="00A11057">
        <w:rPr>
          <w:rFonts w:asciiTheme="majorHAnsi" w:eastAsia="Calibri" w:hAnsiTheme="majorHAnsi"/>
          <w:sz w:val="22"/>
          <w:szCs w:val="22"/>
          <w:lang w:val="sr-Cyrl-CS"/>
        </w:rPr>
        <w:lastRenderedPageBreak/>
        <w:t xml:space="preserve">godine, svojim Akcionim planom predviđa prilično neambiciozne ciljeve za period do 2018. godine – 30% povećanja broja pravosnažnih presuda za korupciju u odnosu na 2012. godinu, uprkos proklamovanoj politici „nulte tolerancije”, svesti o tome da se ogromna većina korupcije uopšte ne prijavljuje i ocene da je prethodnim vladama „nedostajala politička volja” da se bore protiv korupcije. </w:t>
      </w:r>
    </w:p>
    <w:p w:rsidR="004C2842" w:rsidRPr="00A11057" w:rsidRDefault="004C2842" w:rsidP="004C2842">
      <w:pPr>
        <w:spacing w:line="276" w:lineRule="auto"/>
        <w:jc w:val="both"/>
        <w:rPr>
          <w:rFonts w:asciiTheme="majorHAnsi" w:eastAsia="Calibri" w:hAnsiTheme="majorHAnsi"/>
          <w:sz w:val="22"/>
          <w:szCs w:val="22"/>
          <w:lang w:val="sr-Cyrl-CS"/>
        </w:rPr>
      </w:pPr>
    </w:p>
    <w:p w:rsidR="004C2842" w:rsidRPr="00A11057" w:rsidRDefault="004C2842" w:rsidP="004C2842">
      <w:pPr>
        <w:spacing w:line="276" w:lineRule="auto"/>
        <w:jc w:val="both"/>
        <w:rPr>
          <w:rFonts w:asciiTheme="majorHAnsi" w:eastAsia="Calibri" w:hAnsiTheme="majorHAnsi"/>
          <w:sz w:val="22"/>
          <w:szCs w:val="22"/>
          <w:lang w:val="sr-Cyrl-CS"/>
        </w:rPr>
      </w:pPr>
      <w:r w:rsidRPr="00A11057">
        <w:rPr>
          <w:rFonts w:asciiTheme="majorHAnsi" w:eastAsia="Calibri" w:hAnsiTheme="majorHAnsi"/>
          <w:b/>
          <w:sz w:val="22"/>
          <w:szCs w:val="22"/>
          <w:lang w:val="sr-Cyrl-CS"/>
        </w:rPr>
        <w:t>U oblasti zakonodavstva</w:t>
      </w:r>
      <w:r w:rsidRPr="00A11057">
        <w:rPr>
          <w:rFonts w:asciiTheme="majorHAnsi" w:eastAsia="Calibri" w:hAnsiTheme="majorHAnsi"/>
          <w:sz w:val="22"/>
          <w:szCs w:val="22"/>
          <w:lang w:val="sr-Cyrl-CS"/>
        </w:rPr>
        <w:t xml:space="preserve">, novi Zakon o javnim nabavkama je popravio zakonski okvir; određena poboljšanja su učinjena kroz izmene i dopune Zakona o budžetskom sistemu i novi Zakon o javnim preduzećima, kao i izmene Poslovnika Vlade (javne rasprave) dok su izmene Krivičnog zakonika rešile samo deo problema u toj oblasti. U praksi se i novousvojena pravila masovno krše, a naročito odredbe o javnosti rada i izboru nepolitičkog rukovodstva javnih preduzeća, kao i pravila o javnim raspravama. Poverenik za informacije od javnog značaja je predstavio </w:t>
      </w:r>
      <w:r w:rsidRPr="00A11057">
        <w:rPr>
          <w:rFonts w:asciiTheme="majorHAnsi" w:eastAsia="Calibri" w:hAnsiTheme="majorHAnsi"/>
          <w:b/>
          <w:sz w:val="22"/>
          <w:szCs w:val="22"/>
          <w:lang w:val="sr-Cyrl-CS"/>
        </w:rPr>
        <w:t>model Zakona o zaštiti uzbunjivača</w:t>
      </w:r>
      <w:r w:rsidRPr="00A11057">
        <w:rPr>
          <w:rFonts w:asciiTheme="majorHAnsi" w:eastAsia="Calibri" w:hAnsiTheme="majorHAnsi"/>
          <w:sz w:val="22"/>
          <w:szCs w:val="22"/>
          <w:lang w:val="sr-Cyrl-CS"/>
        </w:rPr>
        <w:t xml:space="preserve"> početkom aprila 2013. godine, ali nadležno ministarstvo još uvek nije preduzelo odgovarajuće korake na usvajanju tog akta. Rad na </w:t>
      </w:r>
      <w:r w:rsidRPr="00A11057">
        <w:rPr>
          <w:rFonts w:asciiTheme="majorHAnsi" w:eastAsia="Calibri" w:hAnsiTheme="majorHAnsi"/>
          <w:b/>
          <w:sz w:val="22"/>
          <w:szCs w:val="22"/>
          <w:lang w:val="sr-Cyrl-CS"/>
        </w:rPr>
        <w:t xml:space="preserve">Zakonu o lobiranju </w:t>
      </w:r>
      <w:r w:rsidRPr="00A11057">
        <w:rPr>
          <w:rFonts w:asciiTheme="majorHAnsi" w:eastAsia="Calibri" w:hAnsiTheme="majorHAnsi"/>
          <w:sz w:val="22"/>
          <w:szCs w:val="22"/>
          <w:lang w:val="sr-Cyrl-CS"/>
        </w:rPr>
        <w:t>je započeo, ali dalje informacije o tom procesu nisu dostupne. Izmene zakona koje bi trebalo da povećaju efikasnost rada Poverenika za informacije i Zaštitnika građana još uvek nisu vraćene u skupštinsku proceduru.</w:t>
      </w:r>
      <w:r>
        <w:rPr>
          <w:rFonts w:asciiTheme="majorHAnsi" w:eastAsia="Calibri" w:hAnsiTheme="majorHAnsi"/>
          <w:sz w:val="22"/>
          <w:szCs w:val="22"/>
          <w:lang w:val="sr-Latn-RS"/>
        </w:rPr>
        <w:t xml:space="preserve"> </w:t>
      </w:r>
      <w:r w:rsidRPr="00A11057">
        <w:rPr>
          <w:rFonts w:asciiTheme="majorHAnsi" w:eastAsia="Calibri" w:hAnsiTheme="majorHAnsi"/>
          <w:sz w:val="22"/>
          <w:szCs w:val="22"/>
          <w:lang w:val="sr-Cyrl-CS"/>
        </w:rPr>
        <w:t xml:space="preserve">Nije bilo inicijativa za izmenu i dopunu Ustava koje bi bile značajne za efikasniju borbu protiv korupcije. Kroz izmene i dopune Ustava bi trebalo regulisati </w:t>
      </w:r>
      <w:r>
        <w:rPr>
          <w:rFonts w:asciiTheme="majorHAnsi" w:eastAsia="Calibri" w:hAnsiTheme="majorHAnsi"/>
          <w:sz w:val="22"/>
          <w:szCs w:val="22"/>
          <w:lang w:val="sr-Cyrl-CS"/>
        </w:rPr>
        <w:t>status nezavisnih državnih tela</w:t>
      </w:r>
      <w:r>
        <w:rPr>
          <w:rFonts w:asciiTheme="majorHAnsi" w:eastAsia="Calibri" w:hAnsiTheme="majorHAnsi"/>
          <w:sz w:val="22"/>
          <w:szCs w:val="22"/>
          <w:lang w:val="sr-Latn-RS"/>
        </w:rPr>
        <w:t>,</w:t>
      </w:r>
      <w:r w:rsidRPr="00A11057">
        <w:rPr>
          <w:rFonts w:asciiTheme="majorHAnsi" w:eastAsia="Calibri" w:hAnsiTheme="majorHAnsi"/>
          <w:sz w:val="22"/>
          <w:szCs w:val="22"/>
          <w:lang w:val="sr-Cyrl-CS"/>
        </w:rPr>
        <w:t xml:space="preserve"> preciznije regulisati pitanje imuniteta i konflikta interesa, </w:t>
      </w:r>
      <w:r>
        <w:rPr>
          <w:rFonts w:asciiTheme="majorHAnsi" w:eastAsia="Calibri" w:hAnsiTheme="majorHAnsi"/>
          <w:sz w:val="22"/>
          <w:szCs w:val="22"/>
          <w:lang w:val="sr-Latn-RS"/>
        </w:rPr>
        <w:t>obezbediti</w:t>
      </w:r>
      <w:r>
        <w:rPr>
          <w:rFonts w:asciiTheme="majorHAnsi" w:eastAsia="Calibri" w:hAnsiTheme="majorHAnsi"/>
          <w:sz w:val="22"/>
          <w:szCs w:val="22"/>
          <w:lang w:val="sr-Cyrl-CS"/>
        </w:rPr>
        <w:t xml:space="preserve"> </w:t>
      </w:r>
      <w:r>
        <w:rPr>
          <w:rFonts w:asciiTheme="majorHAnsi" w:eastAsia="Calibri" w:hAnsiTheme="majorHAnsi"/>
          <w:sz w:val="22"/>
          <w:szCs w:val="22"/>
          <w:lang w:val="sr-Latn-RS"/>
        </w:rPr>
        <w:t xml:space="preserve">veću </w:t>
      </w:r>
      <w:r>
        <w:rPr>
          <w:rFonts w:asciiTheme="majorHAnsi" w:eastAsia="Calibri" w:hAnsiTheme="majorHAnsi"/>
          <w:sz w:val="22"/>
          <w:szCs w:val="22"/>
          <w:lang w:val="sr-Cyrl-CS"/>
        </w:rPr>
        <w:t>odgovornost</w:t>
      </w:r>
      <w:r w:rsidRPr="00A11057">
        <w:rPr>
          <w:rFonts w:asciiTheme="majorHAnsi" w:eastAsia="Calibri" w:hAnsiTheme="majorHAnsi"/>
          <w:sz w:val="22"/>
          <w:szCs w:val="22"/>
          <w:lang w:val="sr-Cyrl-CS"/>
        </w:rPr>
        <w:t xml:space="preserve"> vlade (obavezne rasprave o građanskim inicijativama, jasnije pravo na pristup informacijama vlade</w:t>
      </w:r>
      <w:r>
        <w:rPr>
          <w:rFonts w:asciiTheme="majorHAnsi" w:eastAsia="Calibri" w:hAnsiTheme="majorHAnsi"/>
          <w:sz w:val="22"/>
          <w:szCs w:val="22"/>
          <w:lang w:val="sr-Cyrl-CS"/>
        </w:rPr>
        <w:t>, pravo na „dobro upravljanje”)</w:t>
      </w:r>
      <w:r>
        <w:rPr>
          <w:rFonts w:asciiTheme="majorHAnsi" w:eastAsia="Calibri" w:hAnsiTheme="majorHAnsi"/>
          <w:sz w:val="22"/>
          <w:szCs w:val="22"/>
          <w:lang w:val="sr-Latn-RS"/>
        </w:rPr>
        <w:t>,</w:t>
      </w:r>
      <w:r w:rsidRPr="00A11057">
        <w:rPr>
          <w:rFonts w:asciiTheme="majorHAnsi" w:eastAsia="Calibri" w:hAnsiTheme="majorHAnsi"/>
          <w:sz w:val="22"/>
          <w:szCs w:val="22"/>
          <w:lang w:val="sr-Cyrl-CS"/>
        </w:rPr>
        <w:t xml:space="preserve"> ograničiti diskreciono pravo vlade po </w:t>
      </w:r>
      <w:r w:rsidRPr="00A11057">
        <w:rPr>
          <w:rFonts w:asciiTheme="majorHAnsi" w:eastAsia="Calibri" w:hAnsiTheme="majorHAnsi"/>
          <w:sz w:val="22"/>
          <w:szCs w:val="22"/>
          <w:lang w:val="sr-Cyrl-CS"/>
        </w:rPr>
        <w:lastRenderedPageBreak/>
        <w:t xml:space="preserve">pitanju donošenja finansijskih odluka i omogućiti ograničavanje sprovođenja sistemskih zakona kroz druge zakonske akte. </w:t>
      </w:r>
    </w:p>
    <w:p w:rsidR="004C2842" w:rsidRPr="00A11057" w:rsidRDefault="004C2842" w:rsidP="004C2842">
      <w:pPr>
        <w:spacing w:line="276" w:lineRule="auto"/>
        <w:jc w:val="both"/>
        <w:rPr>
          <w:rFonts w:asciiTheme="majorHAnsi" w:eastAsia="Calibri" w:hAnsiTheme="majorHAnsi"/>
          <w:sz w:val="22"/>
          <w:szCs w:val="22"/>
          <w:lang w:val="sr-Latn-RS"/>
        </w:rPr>
      </w:pPr>
    </w:p>
    <w:p w:rsidR="004C2842" w:rsidRPr="00A11057" w:rsidRDefault="004C2842" w:rsidP="004C2842">
      <w:pPr>
        <w:spacing w:line="276" w:lineRule="auto"/>
        <w:jc w:val="both"/>
        <w:rPr>
          <w:rFonts w:asciiTheme="majorHAnsi" w:eastAsia="Calibri" w:hAnsiTheme="majorHAnsi"/>
          <w:sz w:val="22"/>
          <w:szCs w:val="22"/>
          <w:lang w:val="sr-Cyrl-CS"/>
        </w:rPr>
      </w:pPr>
      <w:r w:rsidRPr="00A11057">
        <w:rPr>
          <w:rFonts w:asciiTheme="majorHAnsi" w:eastAsia="Calibri" w:hAnsiTheme="majorHAnsi"/>
          <w:sz w:val="22"/>
          <w:szCs w:val="22"/>
          <w:lang w:val="sr-Cyrl-CS"/>
        </w:rPr>
        <w:t xml:space="preserve">Nakon odluke Ustavnog suda, sudije i tužioci koji nisu izabrani u reformi 2009. godine su vraćeni na posao. Reforma sudske organizacije je u toku. </w:t>
      </w:r>
      <w:r w:rsidRPr="00A11057">
        <w:rPr>
          <w:rFonts w:asciiTheme="majorHAnsi" w:eastAsia="Calibri" w:hAnsiTheme="majorHAnsi"/>
          <w:b/>
          <w:sz w:val="22"/>
          <w:szCs w:val="22"/>
          <w:lang w:val="sr-Cyrl-CS"/>
        </w:rPr>
        <w:t xml:space="preserve">Sistem odgovorosti u pravosuđu još uvek nije delotvoran </w:t>
      </w:r>
      <w:r w:rsidRPr="00A11057">
        <w:rPr>
          <w:rFonts w:asciiTheme="majorHAnsi" w:eastAsia="Calibri" w:hAnsiTheme="majorHAnsi"/>
          <w:sz w:val="22"/>
          <w:szCs w:val="22"/>
          <w:lang w:val="sr-Cyrl-CS"/>
        </w:rPr>
        <w:t>i još uvek se radi na merilima za ocenjivanje kvaliteta rada sudija i tužilaca</w:t>
      </w:r>
      <w:r w:rsidRPr="00A11057">
        <w:rPr>
          <w:rFonts w:asciiTheme="majorHAnsi" w:eastAsia="Calibri" w:hAnsiTheme="majorHAnsi"/>
          <w:b/>
          <w:sz w:val="22"/>
          <w:szCs w:val="22"/>
          <w:lang w:val="sr-Cyrl-CS"/>
        </w:rPr>
        <w:t xml:space="preserve">. </w:t>
      </w:r>
      <w:r w:rsidRPr="00A11057">
        <w:rPr>
          <w:rFonts w:asciiTheme="majorHAnsi" w:eastAsia="Calibri" w:hAnsiTheme="majorHAnsi"/>
          <w:sz w:val="22"/>
          <w:szCs w:val="22"/>
          <w:lang w:val="sr-Cyrl-CS"/>
        </w:rPr>
        <w:t xml:space="preserve">Ostaje da se vidi kako će na borbu protiv korupcije i efikasnost sudskih postupaka uticati početak pune primene Zakona o krivičnom postupku (ne samo za specijalne tužioce za organizovani kriminal i ratne zločine). </w:t>
      </w:r>
    </w:p>
    <w:p w:rsidR="004C2842" w:rsidRPr="00A11057" w:rsidRDefault="004C2842" w:rsidP="004C2842">
      <w:pPr>
        <w:spacing w:line="276" w:lineRule="auto"/>
        <w:jc w:val="both"/>
        <w:rPr>
          <w:rFonts w:asciiTheme="majorHAnsi" w:eastAsia="Calibri" w:hAnsiTheme="majorHAnsi"/>
          <w:sz w:val="22"/>
          <w:szCs w:val="22"/>
          <w:lang w:val="sr-Cyrl-CS"/>
        </w:rPr>
      </w:pPr>
    </w:p>
    <w:p w:rsidR="004C2842" w:rsidRPr="00A11057" w:rsidRDefault="004C2842" w:rsidP="004C2842">
      <w:pPr>
        <w:spacing w:line="276" w:lineRule="auto"/>
        <w:jc w:val="both"/>
        <w:rPr>
          <w:rFonts w:asciiTheme="majorHAnsi" w:eastAsia="Calibri" w:hAnsiTheme="majorHAnsi"/>
          <w:b/>
          <w:sz w:val="22"/>
          <w:szCs w:val="22"/>
          <w:lang w:val="sr-Cyrl-CS"/>
        </w:rPr>
      </w:pPr>
      <w:r w:rsidRPr="00A11057">
        <w:rPr>
          <w:rFonts w:asciiTheme="majorHAnsi" w:eastAsia="Calibri" w:hAnsiTheme="majorHAnsi"/>
          <w:b/>
          <w:sz w:val="22"/>
          <w:szCs w:val="22"/>
          <w:lang w:val="sr-Cyrl-CS"/>
        </w:rPr>
        <w:t>Finansiranje političkih partija</w:t>
      </w:r>
      <w:r w:rsidRPr="00A11057">
        <w:rPr>
          <w:rFonts w:asciiTheme="majorHAnsi" w:eastAsia="Calibri" w:hAnsiTheme="majorHAnsi"/>
          <w:sz w:val="22"/>
          <w:szCs w:val="22"/>
          <w:lang w:val="sr-Cyrl-CS"/>
        </w:rPr>
        <w:t xml:space="preserve"> je i dalje veliki problem zbog nedostatka transparentnosti u procesu donošenja odluka i jakog uticaja političkih partija na imenovanje i razrešenje službenika u čitavom javnom sektoru, što se nekada odvija i suprotno Zakonu o državnim službenicima i Zakonu o javnim preduzećima. Agencija za borbu protiv korupcije i dalje proverava finansijske izveštaje sa izbora koji su održani u maju 2012. godine, dok je na stotine prekršajnih postupaka pokrenuto protiv partija koje su propustile da podnesu finansijske izveštaje o lokalnim kampanjama. Agencija za borbu protiv korupcije je takođe identifikovala i neka druga kršenja. „Kupovina glasova”, „zloupotreba službenog položaja” i „trgovina medijskim uticajem u cilju političke promocije” su primeri slučajeva koje nadležni organi još uvek ne istražuju valjano. Pošto se mnoge odluke koje su značajne za državu formulišu i/ili dogovaraju u direktnim pregovorima lidera vladajućih partija, odnosno u forumima vladajućih partija, umesto na sednicama Vlade i Skupštine, </w:t>
      </w:r>
      <w:r w:rsidRPr="00A11057">
        <w:rPr>
          <w:rFonts w:asciiTheme="majorHAnsi" w:eastAsia="Calibri" w:hAnsiTheme="majorHAnsi"/>
          <w:b/>
          <w:sz w:val="22"/>
          <w:szCs w:val="22"/>
          <w:lang w:val="sr-Cyrl-CS"/>
        </w:rPr>
        <w:t>puna implementacija pravila o finansiranju partija, kontrola sukoba interesa i transparentnost lobiranja ostaju ključni preduslovi za sprečavanje korupcije i zloupotrebe službenog položaja u procesu donošenja odluka</w:t>
      </w:r>
      <w:r w:rsidRPr="00A11057">
        <w:rPr>
          <w:rFonts w:asciiTheme="majorHAnsi" w:eastAsia="Calibri" w:hAnsiTheme="majorHAnsi"/>
          <w:sz w:val="22"/>
          <w:szCs w:val="22"/>
          <w:lang w:val="sr-Cyrl-CS"/>
        </w:rPr>
        <w:t>.</w:t>
      </w:r>
      <w:r w:rsidRPr="00A11057">
        <w:rPr>
          <w:rFonts w:asciiTheme="majorHAnsi" w:eastAsia="Calibri" w:hAnsiTheme="majorHAnsi"/>
          <w:b/>
          <w:sz w:val="22"/>
          <w:szCs w:val="22"/>
          <w:lang w:val="sr-Cyrl-CS"/>
        </w:rPr>
        <w:t xml:space="preserve">   </w:t>
      </w:r>
    </w:p>
    <w:p w:rsidR="004C2842" w:rsidRPr="00A11057" w:rsidRDefault="004C2842" w:rsidP="004C2842">
      <w:pPr>
        <w:spacing w:line="276" w:lineRule="auto"/>
        <w:jc w:val="both"/>
        <w:rPr>
          <w:rFonts w:asciiTheme="majorHAnsi" w:eastAsia="Calibri" w:hAnsiTheme="majorHAnsi"/>
          <w:b/>
          <w:sz w:val="22"/>
          <w:szCs w:val="22"/>
          <w:lang w:val="sr-Cyrl-CS"/>
        </w:rPr>
      </w:pPr>
    </w:p>
    <w:p w:rsidR="004C2842" w:rsidRPr="00A11057" w:rsidRDefault="004C2842" w:rsidP="004C2842">
      <w:pPr>
        <w:spacing w:line="276" w:lineRule="auto"/>
        <w:jc w:val="both"/>
        <w:rPr>
          <w:rFonts w:asciiTheme="majorHAnsi" w:eastAsia="Calibri" w:hAnsiTheme="majorHAnsi"/>
          <w:sz w:val="22"/>
          <w:szCs w:val="22"/>
          <w:lang w:val="sr-Cyrl-CS"/>
        </w:rPr>
      </w:pPr>
      <w:r w:rsidRPr="00A11057">
        <w:rPr>
          <w:rFonts w:asciiTheme="majorHAnsi" w:eastAsia="Calibri" w:hAnsiTheme="majorHAnsi"/>
          <w:sz w:val="22"/>
          <w:szCs w:val="22"/>
          <w:lang w:val="sr-Cyrl-CS"/>
        </w:rPr>
        <w:t xml:space="preserve">O </w:t>
      </w:r>
      <w:r w:rsidRPr="00A11057">
        <w:rPr>
          <w:rFonts w:asciiTheme="majorHAnsi" w:eastAsia="Calibri" w:hAnsiTheme="majorHAnsi"/>
          <w:b/>
          <w:sz w:val="22"/>
          <w:szCs w:val="22"/>
          <w:lang w:val="sr-Cyrl-CS"/>
        </w:rPr>
        <w:t>izveštajima nezavisnih državnih organa</w:t>
      </w:r>
      <w:r w:rsidRPr="00A11057">
        <w:rPr>
          <w:rFonts w:asciiTheme="majorHAnsi" w:eastAsia="Calibri" w:hAnsiTheme="majorHAnsi"/>
          <w:sz w:val="22"/>
          <w:szCs w:val="22"/>
          <w:lang w:val="sr-Cyrl-CS"/>
        </w:rPr>
        <w:t xml:space="preserve">, kojima se identifikuju ozbiljni sistematski problemi, je raspravljano na skupštinskim odborima, čije je zaključke podržala Skupština, ali nikakve radnje nisu preduzete da bi se ovi problemi rešili, osim što je najavljeno da će Poverenik i Zaštitnik građana dobiti dodatne prostorije za rad. </w:t>
      </w:r>
    </w:p>
    <w:p w:rsidR="004C2842" w:rsidRPr="00A11057" w:rsidRDefault="004C2842" w:rsidP="004C2842">
      <w:pPr>
        <w:spacing w:line="276" w:lineRule="auto"/>
        <w:jc w:val="both"/>
        <w:rPr>
          <w:rFonts w:asciiTheme="majorHAnsi" w:eastAsia="Calibri" w:hAnsiTheme="majorHAnsi"/>
          <w:sz w:val="22"/>
          <w:szCs w:val="22"/>
          <w:lang w:val="sr-Cyrl-CS"/>
        </w:rPr>
      </w:pPr>
      <w:r w:rsidRPr="00A11057">
        <w:rPr>
          <w:rFonts w:asciiTheme="majorHAnsi" w:eastAsia="Calibri" w:hAnsiTheme="majorHAnsi"/>
          <w:b/>
          <w:sz w:val="22"/>
          <w:szCs w:val="22"/>
          <w:lang w:val="sr-Cyrl-CS"/>
        </w:rPr>
        <w:t xml:space="preserve"> </w:t>
      </w:r>
      <w:r w:rsidRPr="00A11057">
        <w:rPr>
          <w:rFonts w:asciiTheme="majorHAnsi" w:eastAsia="Calibri" w:hAnsiTheme="majorHAnsi"/>
          <w:sz w:val="22"/>
          <w:szCs w:val="22"/>
          <w:lang w:val="sr-Cyrl-CS"/>
        </w:rPr>
        <w:t xml:space="preserve">           </w:t>
      </w:r>
    </w:p>
    <w:p w:rsidR="004C2842" w:rsidRPr="00A11057" w:rsidRDefault="004C2842" w:rsidP="004C2842">
      <w:pPr>
        <w:spacing w:line="276" w:lineRule="auto"/>
        <w:jc w:val="both"/>
        <w:outlineLvl w:val="1"/>
        <w:rPr>
          <w:rFonts w:asciiTheme="majorHAnsi" w:eastAsia="Calibri" w:hAnsiTheme="majorHAnsi"/>
          <w:b/>
          <w:sz w:val="22"/>
          <w:szCs w:val="22"/>
          <w:lang w:val="sr-Cyrl-CS"/>
        </w:rPr>
      </w:pPr>
      <w:bookmarkStart w:id="3" w:name="_Toc368397025"/>
      <w:r w:rsidRPr="00A11057">
        <w:rPr>
          <w:rFonts w:asciiTheme="majorHAnsi" w:eastAsia="Calibri" w:hAnsiTheme="majorHAnsi"/>
          <w:b/>
          <w:sz w:val="22"/>
          <w:szCs w:val="22"/>
          <w:lang w:val="sr-Cyrl-CS"/>
        </w:rPr>
        <w:t>Javne nabavke</w:t>
      </w:r>
      <w:bookmarkEnd w:id="3"/>
    </w:p>
    <w:p w:rsidR="004C2842" w:rsidRPr="00A11057" w:rsidRDefault="004C2842" w:rsidP="004C2842">
      <w:pPr>
        <w:spacing w:line="276" w:lineRule="auto"/>
        <w:jc w:val="both"/>
        <w:rPr>
          <w:rFonts w:asciiTheme="majorHAnsi" w:eastAsia="Calibri" w:hAnsiTheme="majorHAnsi"/>
          <w:sz w:val="22"/>
          <w:szCs w:val="22"/>
          <w:lang w:val="sr-Cyrl-CS"/>
        </w:rPr>
      </w:pPr>
    </w:p>
    <w:p w:rsidR="004C2842" w:rsidRPr="00A11057" w:rsidRDefault="004C2842" w:rsidP="004C2842">
      <w:pPr>
        <w:spacing w:after="200" w:line="276" w:lineRule="auto"/>
        <w:jc w:val="both"/>
        <w:rPr>
          <w:rFonts w:asciiTheme="majorHAnsi" w:eastAsia="Calibri" w:hAnsiTheme="majorHAnsi"/>
          <w:sz w:val="22"/>
          <w:szCs w:val="22"/>
          <w:lang w:val="sr-Cyrl-CS"/>
        </w:rPr>
      </w:pPr>
      <w:r w:rsidRPr="00A11057">
        <w:rPr>
          <w:rFonts w:asciiTheme="majorHAnsi" w:eastAsia="Calibri" w:hAnsiTheme="majorHAnsi"/>
          <w:b/>
          <w:sz w:val="22"/>
          <w:szCs w:val="22"/>
          <w:lang w:val="sr-Cyrl-CS"/>
        </w:rPr>
        <w:t>Novi zakon, na snazi od aprila 2013. godine, je u velikoj meri poboljšao zakonski okvir</w:t>
      </w:r>
      <w:r w:rsidRPr="00A11057">
        <w:rPr>
          <w:rFonts w:asciiTheme="majorHAnsi" w:eastAsia="Calibri" w:hAnsiTheme="majorHAnsi"/>
          <w:sz w:val="22"/>
          <w:szCs w:val="22"/>
          <w:lang w:val="sr-Cyrl-CS"/>
        </w:rPr>
        <w:t xml:space="preserve">. Uprava za javne nabavke je pripremila niz podzakonskih akata za implementaciju zakona, a do oktobra 2013. godine bi trebalo da pripremi dva značajna akta – Plan za borbu protiv korupcije u javnim nabavkama (u saradnji sa Agencijom za borbu protiv korupcije) i podzakonski akt na osnovu koga će naručilac interno regulisati planiranje javnih nabavki, podelu nadležnosti i kontrolu nad izvršenjem ugovora. </w:t>
      </w:r>
      <w:r w:rsidRPr="00A11057">
        <w:rPr>
          <w:rFonts w:asciiTheme="majorHAnsi" w:eastAsia="Calibri" w:hAnsiTheme="majorHAnsi"/>
          <w:b/>
          <w:sz w:val="22"/>
          <w:szCs w:val="22"/>
          <w:lang w:val="sr-Cyrl-CS"/>
        </w:rPr>
        <w:t xml:space="preserve">Međutim, zakon ne pokriva neka </w:t>
      </w:r>
      <w:r w:rsidRPr="00A11057">
        <w:rPr>
          <w:rFonts w:asciiTheme="majorHAnsi" w:eastAsia="Calibri" w:hAnsiTheme="majorHAnsi"/>
          <w:b/>
          <w:sz w:val="22"/>
          <w:szCs w:val="22"/>
          <w:lang w:val="sr-Cyrl-CS"/>
        </w:rPr>
        <w:lastRenderedPageBreak/>
        <w:t>bitna pitanja, kao što su nabavke koje se finansiraju kroz međudržavne sporazume ili kroz kredite međunarodnih finansijskih institucija.</w:t>
      </w:r>
      <w:r w:rsidRPr="00A11057">
        <w:rPr>
          <w:rFonts w:asciiTheme="majorHAnsi" w:eastAsia="Calibri" w:hAnsiTheme="majorHAnsi"/>
          <w:sz w:val="22"/>
          <w:szCs w:val="22"/>
          <w:lang w:val="sr-Cyrl-CS"/>
        </w:rPr>
        <w:t xml:space="preserve"> Drugo problematično pitanje jeste nedostatak kapaciteta kontrolnih tela, kao što su Uprava za javne nabavke, Komisija za zaštitu prava i Budžetska inspekcija.</w:t>
      </w:r>
      <w:r w:rsidRPr="00A11057">
        <w:rPr>
          <w:rFonts w:asciiTheme="majorHAnsi" w:eastAsia="Calibri" w:hAnsiTheme="majorHAnsi"/>
          <w:b/>
          <w:sz w:val="22"/>
          <w:szCs w:val="22"/>
          <w:lang w:val="sr-Cyrl-CS"/>
        </w:rPr>
        <w:t xml:space="preserve"> Nad javno-privatnim partnerstvima, nedavno regulisanim, ali retko kad sprovođenim,  mora se vršiti strogi nadzor zbog potencijalne opasnosti od korupcije.</w:t>
      </w:r>
      <w:r w:rsidRPr="00A11057">
        <w:rPr>
          <w:rFonts w:asciiTheme="majorHAnsi" w:eastAsia="Calibri" w:hAnsiTheme="majorHAnsi"/>
          <w:sz w:val="22"/>
          <w:szCs w:val="22"/>
          <w:lang w:val="sr-Cyrl-CS"/>
        </w:rPr>
        <w:t xml:space="preserve"> Samo deo ovih problema će se rešiti kroz implementaciju Strategije za borbu protiv korupcije. Ažuriranje Strategije za reformu sistema javnih nabavki je takođe predviđeno. Međutim, i druge promene su još uvek neophodne, naročito izmene Zakona o budžetskom sistemu (posebno u smislu planiranja javnih nabavki), i Krivičnog zakonika (novo krivično delo u vezi sa javnim nabavkama, koje treba da se izmeni).   </w:t>
      </w:r>
    </w:p>
    <w:p w:rsidR="004C2842" w:rsidRPr="00A11057" w:rsidRDefault="004C2842" w:rsidP="004C2842">
      <w:pPr>
        <w:spacing w:after="200" w:line="276" w:lineRule="auto"/>
        <w:jc w:val="both"/>
        <w:rPr>
          <w:rFonts w:asciiTheme="majorHAnsi" w:eastAsia="Calibri" w:hAnsiTheme="majorHAnsi"/>
          <w:sz w:val="22"/>
          <w:szCs w:val="22"/>
          <w:lang w:val="sr-Cyrl-CS"/>
        </w:rPr>
      </w:pPr>
      <w:r w:rsidRPr="00A11057">
        <w:rPr>
          <w:rFonts w:asciiTheme="majorHAnsi" w:eastAsia="Calibri" w:hAnsiTheme="majorHAnsi"/>
          <w:sz w:val="22"/>
          <w:szCs w:val="22"/>
          <w:lang w:val="sr-Cyrl-CS"/>
        </w:rPr>
        <w:t xml:space="preserve">Primena novog zakona je započela brojnim zahtevima iz raznih sektora i institucija koje su tražile izuzeće iz opšteg režima javnih nabavki (npr. nabavka farmaceutskih proizvoda i nabavka za kulturne institucije). Novi portal za javne nabavke funkcioniše, i pruža informacije koje ranije nisu objavljivane redovno (npr. nabavke male vrednosti, tenderska dokumentacija i sl.). Imenovani su građanski nadzornici za nekoliko velikih nabavki, ali o njihovim izveštajima još uvek nije raspravljao skupštinski odbor. Međutim, još uvek je rano da se predvide efekti koje bi zakon mogao da ima. Istovremeno, Vlada je nastavila sa praksom sprovođenja ogromnih infrastrukturnih projekata bez postupka javne nabavke, npr. sprovođenje specijalnih procedura dogovorenih sa međunarodnim finansijskim institucijama stranih zemalja. Državna revizorska institucija je započela „reviziju svrsishodnosti” na odabranom uzorku. </w:t>
      </w:r>
      <w:r w:rsidRPr="00A11057">
        <w:rPr>
          <w:rFonts w:asciiTheme="majorHAnsi" w:eastAsia="Calibri" w:hAnsiTheme="majorHAnsi"/>
          <w:b/>
          <w:sz w:val="22"/>
          <w:szCs w:val="22"/>
          <w:lang w:val="sr-Cyrl-CS"/>
        </w:rPr>
        <w:t>Upravi za javne nabavke, Komisiji za zaštitu prava i Budžetskoj inspekciji još uvek nedostaju kadrovi, da bi u potpunosti mogle da vrše funkciju nadzora nad procesom javnih nabavki.</w:t>
      </w:r>
      <w:r w:rsidRPr="00A11057">
        <w:rPr>
          <w:rFonts w:asciiTheme="majorHAnsi" w:eastAsia="Calibri" w:hAnsiTheme="majorHAnsi"/>
          <w:sz w:val="22"/>
          <w:szCs w:val="22"/>
          <w:lang w:val="sr-Cyrl-CS"/>
        </w:rPr>
        <w:t xml:space="preserve"> Ne postoji evidencija o implementaciji novih pravila u vezi sa poništavanjem ugovora, kršenjem pravila, niti u vezi sa kažnjavanjem zabranjenog dogovaranja između ponuđača. </w:t>
      </w:r>
    </w:p>
    <w:p w:rsidR="004C2842" w:rsidRPr="00A11057" w:rsidRDefault="004C2842" w:rsidP="004C2842">
      <w:pPr>
        <w:spacing w:line="276" w:lineRule="auto"/>
        <w:jc w:val="both"/>
        <w:rPr>
          <w:rFonts w:asciiTheme="majorHAnsi" w:eastAsia="Calibri" w:hAnsiTheme="majorHAnsi"/>
          <w:b/>
          <w:sz w:val="22"/>
          <w:szCs w:val="22"/>
          <w:lang w:val="sr-Cyrl-CS"/>
        </w:rPr>
      </w:pPr>
      <w:r w:rsidRPr="00A11057">
        <w:rPr>
          <w:rFonts w:asciiTheme="majorHAnsi" w:eastAsia="Calibri" w:hAnsiTheme="majorHAnsi"/>
          <w:b/>
          <w:bCs/>
          <w:sz w:val="22"/>
          <w:szCs w:val="22"/>
          <w:lang w:val="sr-Cyrl-CS"/>
        </w:rPr>
        <w:t xml:space="preserve">Tri opšte preporuke za unapređenje situacije (skoro iste kao za 2010, 2011. i 2012. godinu): </w:t>
      </w:r>
    </w:p>
    <w:p w:rsidR="004C2842" w:rsidRPr="00A11057" w:rsidRDefault="004C2842" w:rsidP="004C2842">
      <w:pPr>
        <w:numPr>
          <w:ilvl w:val="0"/>
          <w:numId w:val="1"/>
        </w:numPr>
        <w:spacing w:line="276" w:lineRule="auto"/>
        <w:contextualSpacing/>
        <w:jc w:val="both"/>
        <w:rPr>
          <w:rFonts w:asciiTheme="majorHAnsi" w:eastAsia="Calibri" w:hAnsiTheme="majorHAnsi"/>
          <w:sz w:val="22"/>
          <w:szCs w:val="22"/>
          <w:lang w:val="sr-Cyrl-CS"/>
        </w:rPr>
      </w:pPr>
      <w:r w:rsidRPr="00A11057">
        <w:rPr>
          <w:rFonts w:asciiTheme="majorHAnsi" w:eastAsia="Calibri" w:hAnsiTheme="majorHAnsi"/>
          <w:sz w:val="22"/>
          <w:szCs w:val="22"/>
          <w:lang w:val="sr-Cyrl-CS"/>
        </w:rPr>
        <w:t xml:space="preserve">Fokusirati se na implementaciju usvojenih antikorupcijskih zakona i uklanjanje prepreka za delotvoran rad nezavisnih organa koji imaju ulogu u borbi protiv korupcije. </w:t>
      </w:r>
    </w:p>
    <w:p w:rsidR="004C2842" w:rsidRPr="00A11057" w:rsidRDefault="004C2842" w:rsidP="004C2842">
      <w:pPr>
        <w:numPr>
          <w:ilvl w:val="0"/>
          <w:numId w:val="1"/>
        </w:numPr>
        <w:spacing w:line="276" w:lineRule="auto"/>
        <w:contextualSpacing/>
        <w:jc w:val="both"/>
        <w:rPr>
          <w:rFonts w:asciiTheme="majorHAnsi" w:eastAsia="Calibri" w:hAnsiTheme="majorHAnsi"/>
          <w:sz w:val="22"/>
          <w:szCs w:val="22"/>
          <w:lang w:val="sr-Cyrl-CS"/>
        </w:rPr>
      </w:pPr>
      <w:r w:rsidRPr="00A11057">
        <w:rPr>
          <w:rFonts w:asciiTheme="majorHAnsi" w:eastAsia="Calibri" w:hAnsiTheme="majorHAnsi"/>
          <w:sz w:val="22"/>
          <w:szCs w:val="22"/>
          <w:lang w:val="sr-Cyrl-CS"/>
        </w:rPr>
        <w:t>Inicirati proaktivno ispitivanje korupcije na osnovu identifikovanih obrazaca korupcije; upotrebiti specijalne istražne tehnike za razotkrivanje korupcije na najvišem nivou i ohrabrivati uzbunjivanje.</w:t>
      </w:r>
    </w:p>
    <w:p w:rsidR="00391CB6" w:rsidRPr="004C2842" w:rsidRDefault="00347240" w:rsidP="004C2842">
      <w:pPr>
        <w:numPr>
          <w:ilvl w:val="0"/>
          <w:numId w:val="1"/>
        </w:numPr>
        <w:spacing w:line="276" w:lineRule="auto"/>
        <w:contextualSpacing/>
        <w:jc w:val="both"/>
        <w:rPr>
          <w:rFonts w:asciiTheme="majorHAnsi" w:hAnsiTheme="majorHAnsi"/>
          <w:sz w:val="22"/>
          <w:szCs w:val="22"/>
          <w:lang w:val="sr-Cyrl-CS"/>
        </w:rPr>
      </w:pPr>
      <w:r w:rsidRPr="00A11057">
        <w:rPr>
          <w:rFonts w:asciiTheme="majorHAnsi" w:eastAsia="Calibri" w:hAnsiTheme="majorHAnsi"/>
          <w:sz w:val="22"/>
          <w:szCs w:val="22"/>
          <w:lang w:val="sr-Cyrl-CS"/>
        </w:rPr>
        <w:t>Sprovoditi mere koje imaju za cilj suzbijanje političke korupcije, uključujući potpunu depolitizaciju javnih preduzeća i rukovodstva javnih službi; uporediti</w:t>
      </w:r>
      <w:r w:rsidRPr="00A11057">
        <w:rPr>
          <w:rFonts w:asciiTheme="majorHAnsi" w:eastAsia="Calibri" w:hAnsiTheme="majorHAnsi"/>
          <w:sz w:val="22"/>
          <w:szCs w:val="22"/>
          <w:lang w:val="sr-Cyrl-CS"/>
        </w:rPr>
        <w:t xml:space="preserve"> imovinu državnih zvaničnika sa njihovim legitimnim prihodima; usvojiti propise o lobiranju i sprovesti strog nadzor nad finansiranjem politič</w:t>
      </w:r>
      <w:r w:rsidR="004C2842" w:rsidRPr="00475398">
        <w:rPr>
          <w:rFonts w:asciiTheme="majorHAnsi" w:eastAsia="Calibri" w:hAnsiTheme="majorHAnsi"/>
          <w:sz w:val="22"/>
          <w:szCs w:val="22"/>
          <w:lang w:val="sr-Cyrl-CS"/>
        </w:rPr>
        <w:t>kih partija i izbornih kampanja</w:t>
      </w:r>
      <w:r w:rsidR="004C2842" w:rsidRPr="00475398">
        <w:rPr>
          <w:rFonts w:asciiTheme="majorHAnsi" w:eastAsia="Calibri" w:hAnsiTheme="majorHAnsi"/>
          <w:sz w:val="22"/>
          <w:szCs w:val="22"/>
          <w:lang w:val="sr-Latn-RS"/>
        </w:rPr>
        <w:t>.</w:t>
      </w:r>
    </w:p>
    <w:sectPr w:rsidR="00391CB6" w:rsidRPr="004C2842">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240" w:rsidRDefault="00347240" w:rsidP="004C2842">
      <w:r>
        <w:separator/>
      </w:r>
    </w:p>
  </w:endnote>
  <w:endnote w:type="continuationSeparator" w:id="0">
    <w:p w:rsidR="00347240" w:rsidRDefault="00347240" w:rsidP="004C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venim MT">
    <w:panose1 w:val="02010502060101010101"/>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Euphemia">
    <w:panose1 w:val="020B0503040102020104"/>
    <w:charset w:val="00"/>
    <w:family w:val="swiss"/>
    <w:pitch w:val="variable"/>
    <w:sig w:usb0="8000006F" w:usb1="0000004A" w:usb2="00002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B85" w:rsidRDefault="00347240">
    <w:pPr>
      <w:pStyle w:val="Footer"/>
      <w:jc w:val="right"/>
    </w:pPr>
    <w:r>
      <w:fldChar w:fldCharType="begin"/>
    </w:r>
    <w:r>
      <w:instrText xml:space="preserve"> PAGE   \* MERGEFORMAT </w:instrText>
    </w:r>
    <w:r>
      <w:fldChar w:fldCharType="separate"/>
    </w:r>
    <w:r w:rsidR="004C2842">
      <w:rPr>
        <w:noProof/>
      </w:rPr>
      <w:t>1</w:t>
    </w:r>
    <w:r>
      <w:rPr>
        <w:noProof/>
      </w:rPr>
      <w:fldChar w:fldCharType="end"/>
    </w:r>
  </w:p>
  <w:p w:rsidR="00A82B85" w:rsidRPr="00926878" w:rsidRDefault="00347240" w:rsidP="005A4E20">
    <w:pPr>
      <w:pStyle w:val="Footer"/>
      <w:tabs>
        <w:tab w:val="left" w:pos="2130"/>
      </w:tabs>
      <w:rPr>
        <w:rFonts w:ascii="Arial" w:hAnsi="Arial" w:cs="Arial"/>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240" w:rsidRDefault="00347240" w:rsidP="004C2842">
      <w:r>
        <w:separator/>
      </w:r>
    </w:p>
  </w:footnote>
  <w:footnote w:type="continuationSeparator" w:id="0">
    <w:p w:rsidR="00347240" w:rsidRDefault="00347240" w:rsidP="004C2842">
      <w:r>
        <w:continuationSeparator/>
      </w:r>
    </w:p>
  </w:footnote>
  <w:footnote w:id="1">
    <w:p w:rsidR="004C2842" w:rsidRPr="00475398" w:rsidRDefault="004C2842" w:rsidP="004C2842">
      <w:pPr>
        <w:pStyle w:val="FootnoteText"/>
        <w:rPr>
          <w:rFonts w:asciiTheme="majorHAnsi" w:hAnsiTheme="majorHAnsi"/>
          <w:sz w:val="18"/>
          <w:szCs w:val="18"/>
          <w:lang w:val="sr-Latn-RS"/>
        </w:rPr>
      </w:pPr>
      <w:r w:rsidRPr="00475398">
        <w:rPr>
          <w:rStyle w:val="FootnoteReference"/>
          <w:rFonts w:asciiTheme="majorHAnsi" w:hAnsiTheme="majorHAnsi"/>
          <w:sz w:val="18"/>
          <w:szCs w:val="18"/>
        </w:rPr>
        <w:footnoteRef/>
      </w:r>
      <w:r w:rsidRPr="00475398">
        <w:rPr>
          <w:rFonts w:asciiTheme="majorHAnsi" w:hAnsiTheme="majorHAnsi"/>
          <w:sz w:val="18"/>
          <w:szCs w:val="18"/>
        </w:rPr>
        <w:t xml:space="preserve"> </w:t>
      </w:r>
      <w:r w:rsidRPr="00475398">
        <w:rPr>
          <w:rFonts w:asciiTheme="majorHAnsi" w:hAnsiTheme="majorHAnsi"/>
          <w:sz w:val="18"/>
          <w:szCs w:val="18"/>
          <w:lang w:val="sr-Latn-RS"/>
        </w:rPr>
        <w:t xml:space="preserve">U ovom dokumentu su predstavljeni izvodi iz pojedinih poglavlja zajedničkog izveštaja koalicije „PrEUgovor“, koji je predstavljen u Beogradu 1.10.2013, odnosno pojedine teme koje je u okviru zajedničkog izveštaja pripremila Transparentnost – Srbija. Ceo izveštaj je dostupan na adresi </w:t>
      </w:r>
      <w:hyperlink r:id="rId1" w:history="1">
        <w:r w:rsidRPr="00475398">
          <w:rPr>
            <w:rStyle w:val="Hyperlink"/>
            <w:rFonts w:asciiTheme="majorHAnsi" w:hAnsiTheme="majorHAnsi"/>
            <w:sz w:val="18"/>
            <w:szCs w:val="18"/>
            <w:lang w:val="sr-Latn-RS"/>
          </w:rPr>
          <w:t>http://www.bezbednost.org/upload/document/izvestaj_koalicije_preugovor_o_napretku_srbije_u_p.pdf</w:t>
        </w:r>
      </w:hyperlink>
      <w:r w:rsidRPr="00475398">
        <w:rPr>
          <w:rFonts w:asciiTheme="majorHAnsi" w:hAnsiTheme="majorHAnsi"/>
          <w:sz w:val="18"/>
          <w:szCs w:val="18"/>
          <w:lang w:val="sr-Latn-RS"/>
        </w:rPr>
        <w:t xml:space="preserve"> Pojedini delovi ovog teksta potiču iz Priloga za izveštaj EK, koje je Transparentnost – Srbija predstavila na sastanku nevladinih organizacija (među njima i Transparency International) sa službenicima DG Enlargement u Briselu, maja 2013. </w:t>
      </w:r>
    </w:p>
  </w:footnote>
  <w:footnote w:id="2">
    <w:p w:rsidR="004C2842" w:rsidRPr="00475398" w:rsidRDefault="004C2842" w:rsidP="004C2842">
      <w:pPr>
        <w:pStyle w:val="FootnoteText"/>
        <w:rPr>
          <w:rFonts w:asciiTheme="majorHAnsi" w:hAnsiTheme="majorHAnsi"/>
          <w:sz w:val="18"/>
          <w:szCs w:val="18"/>
          <w:lang w:val="sr-Latn-RS"/>
        </w:rPr>
      </w:pPr>
      <w:r w:rsidRPr="00475398">
        <w:rPr>
          <w:rStyle w:val="FootnoteReference"/>
          <w:rFonts w:asciiTheme="majorHAnsi" w:hAnsiTheme="majorHAnsi"/>
          <w:sz w:val="18"/>
          <w:szCs w:val="18"/>
          <w:lang w:val="sr-Latn-RS"/>
        </w:rPr>
        <w:footnoteRef/>
      </w:r>
      <w:hyperlink r:id="rId2" w:history="1">
        <w:r w:rsidRPr="00475398">
          <w:rPr>
            <w:rStyle w:val="Hyperlink"/>
            <w:rFonts w:asciiTheme="majorHAnsi" w:hAnsiTheme="majorHAnsi"/>
            <w:sz w:val="18"/>
            <w:szCs w:val="18"/>
            <w:lang w:val="sr-Latn-RS"/>
          </w:rPr>
          <w:t>http://www.transparentnost.org.rs/index.php?option=com_content&amp;view=article&amp;id=270%3Aproblem-sa-postavljanjem-slubenika-na-poloaju-i-depolitizacija-dravne-uprave&amp;catid=14%3Avesti&amp;lang=sr</w:t>
        </w:r>
      </w:hyperlink>
      <w:r w:rsidRPr="00475398">
        <w:rPr>
          <w:rFonts w:asciiTheme="majorHAnsi" w:hAnsiTheme="majorHAnsi"/>
          <w:sz w:val="18"/>
          <w:szCs w:val="18"/>
          <w:lang w:val="sr-Latn-RS"/>
        </w:rPr>
        <w:t xml:space="preserve">  </w:t>
      </w:r>
    </w:p>
  </w:footnote>
  <w:footnote w:id="3">
    <w:p w:rsidR="004C2842" w:rsidRPr="00475398" w:rsidRDefault="004C2842" w:rsidP="004C2842">
      <w:pPr>
        <w:pStyle w:val="FootnoteText"/>
        <w:spacing w:line="276" w:lineRule="auto"/>
        <w:jc w:val="both"/>
        <w:rPr>
          <w:rFonts w:asciiTheme="majorHAnsi" w:hAnsiTheme="majorHAnsi"/>
          <w:sz w:val="18"/>
          <w:szCs w:val="18"/>
        </w:rPr>
      </w:pPr>
      <w:r w:rsidRPr="00475398">
        <w:rPr>
          <w:rStyle w:val="FootnoteReference"/>
          <w:rFonts w:asciiTheme="majorHAnsi" w:hAnsiTheme="majorHAnsi"/>
          <w:sz w:val="18"/>
          <w:szCs w:val="18"/>
        </w:rPr>
        <w:footnoteRef/>
      </w:r>
      <w:r w:rsidRPr="00475398">
        <w:rPr>
          <w:rFonts w:asciiTheme="majorHAnsi" w:hAnsiTheme="majorHAnsi"/>
          <w:sz w:val="18"/>
          <w:szCs w:val="18"/>
        </w:rPr>
        <w:t xml:space="preserve"> </w:t>
      </w:r>
      <w:r w:rsidRPr="00475398">
        <w:rPr>
          <w:rFonts w:asciiTheme="majorHAnsi" w:hAnsiTheme="majorHAnsi"/>
          <w:bCs/>
          <w:sz w:val="18"/>
          <w:szCs w:val="18"/>
        </w:rPr>
        <w:t xml:space="preserve">U </w:t>
      </w:r>
      <w:proofErr w:type="spellStart"/>
      <w:r w:rsidRPr="00475398">
        <w:rPr>
          <w:rFonts w:asciiTheme="majorHAnsi" w:hAnsiTheme="majorHAnsi"/>
          <w:bCs/>
          <w:sz w:val="18"/>
          <w:szCs w:val="18"/>
        </w:rPr>
        <w:t>Strategiji</w:t>
      </w:r>
      <w:proofErr w:type="spellEnd"/>
      <w:r w:rsidRPr="00475398">
        <w:rPr>
          <w:rFonts w:asciiTheme="majorHAnsi" w:hAnsiTheme="majorHAnsi"/>
          <w:bCs/>
          <w:sz w:val="18"/>
          <w:szCs w:val="18"/>
        </w:rPr>
        <w:t xml:space="preserve"> se </w:t>
      </w:r>
      <w:r w:rsidRPr="00475398">
        <w:rPr>
          <w:rFonts w:asciiTheme="majorHAnsi" w:hAnsiTheme="majorHAnsi"/>
          <w:b/>
          <w:bCs/>
          <w:sz w:val="18"/>
          <w:szCs w:val="18"/>
        </w:rPr>
        <w:t xml:space="preserve">ne </w:t>
      </w:r>
      <w:proofErr w:type="spellStart"/>
      <w:r w:rsidRPr="00475398">
        <w:rPr>
          <w:rFonts w:asciiTheme="majorHAnsi" w:hAnsiTheme="majorHAnsi"/>
          <w:b/>
          <w:bCs/>
          <w:sz w:val="18"/>
          <w:szCs w:val="18"/>
        </w:rPr>
        <w:t>pominju</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ni</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unakrsne</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provere</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prihoda</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i</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imovine</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ni</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nedavno</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najavljeni</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Zakon</w:t>
      </w:r>
      <w:proofErr w:type="spellEnd"/>
      <w:r w:rsidRPr="00475398">
        <w:rPr>
          <w:rFonts w:asciiTheme="majorHAnsi" w:hAnsiTheme="majorHAnsi"/>
          <w:b/>
          <w:bCs/>
          <w:sz w:val="18"/>
          <w:szCs w:val="18"/>
        </w:rPr>
        <w:t xml:space="preserve"> o </w:t>
      </w:r>
      <w:proofErr w:type="spellStart"/>
      <w:r w:rsidRPr="00475398">
        <w:rPr>
          <w:rFonts w:asciiTheme="majorHAnsi" w:hAnsiTheme="majorHAnsi"/>
          <w:b/>
          <w:bCs/>
          <w:sz w:val="18"/>
          <w:szCs w:val="18"/>
        </w:rPr>
        <w:t>ispitivanju</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porekla</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imovine</w:t>
      </w:r>
      <w:proofErr w:type="spellEnd"/>
      <w:r w:rsidRPr="00475398">
        <w:rPr>
          <w:rFonts w:asciiTheme="majorHAnsi" w:hAnsiTheme="majorHAnsi"/>
          <w:b/>
          <w:bCs/>
          <w:sz w:val="18"/>
          <w:szCs w:val="18"/>
        </w:rPr>
        <w:t xml:space="preserve">; </w:t>
      </w:r>
      <w:r w:rsidRPr="00475398">
        <w:rPr>
          <w:rFonts w:asciiTheme="majorHAnsi" w:hAnsiTheme="majorHAnsi"/>
          <w:sz w:val="18"/>
          <w:szCs w:val="18"/>
        </w:rPr>
        <w:t xml:space="preserve">Strategija ne </w:t>
      </w:r>
      <w:proofErr w:type="spellStart"/>
      <w:r w:rsidRPr="00475398">
        <w:rPr>
          <w:rFonts w:asciiTheme="majorHAnsi" w:hAnsiTheme="majorHAnsi"/>
          <w:sz w:val="18"/>
          <w:szCs w:val="18"/>
        </w:rPr>
        <w:t>predviđa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mehanizme</w:t>
      </w:r>
      <w:proofErr w:type="spellEnd"/>
      <w:r w:rsidRPr="00475398">
        <w:rPr>
          <w:rFonts w:asciiTheme="majorHAnsi" w:hAnsiTheme="majorHAnsi"/>
          <w:sz w:val="18"/>
          <w:szCs w:val="18"/>
        </w:rPr>
        <w:t xml:space="preserve"> za </w:t>
      </w:r>
      <w:proofErr w:type="spellStart"/>
      <w:r w:rsidRPr="00475398">
        <w:rPr>
          <w:rFonts w:asciiTheme="majorHAnsi" w:hAnsiTheme="majorHAnsi"/>
          <w:sz w:val="18"/>
          <w:szCs w:val="18"/>
        </w:rPr>
        <w:t>povećanje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broja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prijavljenih</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slučajeva</w:t>
      </w:r>
      <w:proofErr w:type="spellEnd"/>
      <w:r w:rsidRPr="00475398">
        <w:rPr>
          <w:rFonts w:asciiTheme="majorHAnsi" w:hAnsiTheme="majorHAnsi"/>
          <w:sz w:val="18"/>
          <w:szCs w:val="18"/>
        </w:rPr>
        <w:t xml:space="preserve"> korupcije </w:t>
      </w:r>
      <w:proofErr w:type="spellStart"/>
      <w:r w:rsidRPr="00475398">
        <w:rPr>
          <w:rFonts w:asciiTheme="majorHAnsi" w:hAnsiTheme="majorHAnsi"/>
          <w:sz w:val="18"/>
          <w:szCs w:val="18"/>
        </w:rPr>
        <w:t>kroz</w:t>
      </w:r>
      <w:proofErr w:type="spellEnd"/>
      <w:r w:rsidRPr="00475398">
        <w:rPr>
          <w:rFonts w:asciiTheme="majorHAnsi" w:hAnsiTheme="majorHAnsi"/>
          <w:sz w:val="18"/>
          <w:szCs w:val="18"/>
        </w:rPr>
        <w:t xml:space="preserve"> </w:t>
      </w:r>
      <w:proofErr w:type="spellStart"/>
      <w:r w:rsidRPr="00475398">
        <w:rPr>
          <w:rFonts w:asciiTheme="majorHAnsi" w:hAnsiTheme="majorHAnsi"/>
          <w:b/>
          <w:sz w:val="18"/>
          <w:szCs w:val="18"/>
        </w:rPr>
        <w:t>oslobađanje</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od</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odgovornosti</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učesnika</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koji</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prijavi</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krivično</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delo</w:t>
      </w:r>
      <w:proofErr w:type="spellEnd"/>
      <w:r w:rsidRPr="00475398">
        <w:rPr>
          <w:rFonts w:asciiTheme="majorHAnsi" w:hAnsiTheme="majorHAnsi"/>
          <w:sz w:val="18"/>
          <w:szCs w:val="18"/>
        </w:rPr>
        <w:t xml:space="preserve"> pre </w:t>
      </w:r>
      <w:proofErr w:type="spellStart"/>
      <w:r w:rsidRPr="00475398">
        <w:rPr>
          <w:rFonts w:asciiTheme="majorHAnsi" w:hAnsiTheme="majorHAnsi"/>
          <w:sz w:val="18"/>
          <w:szCs w:val="18"/>
        </w:rPr>
        <w:t>nego</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što</w:t>
      </w:r>
      <w:proofErr w:type="spellEnd"/>
      <w:r w:rsidRPr="00475398">
        <w:rPr>
          <w:rFonts w:asciiTheme="majorHAnsi" w:hAnsiTheme="majorHAnsi"/>
          <w:sz w:val="18"/>
          <w:szCs w:val="18"/>
        </w:rPr>
        <w:t xml:space="preserve"> se za </w:t>
      </w:r>
      <w:proofErr w:type="spellStart"/>
      <w:r w:rsidRPr="00475398">
        <w:rPr>
          <w:rFonts w:asciiTheme="majorHAnsi" w:hAnsiTheme="majorHAnsi"/>
          <w:sz w:val="18"/>
          <w:szCs w:val="18"/>
        </w:rPr>
        <w:t>njega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sazna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Iz</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nacrta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Strategije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su</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izbačene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aktivnosti</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koje</w:t>
      </w:r>
      <w:proofErr w:type="spellEnd"/>
      <w:r w:rsidRPr="00475398">
        <w:rPr>
          <w:rFonts w:asciiTheme="majorHAnsi" w:hAnsiTheme="majorHAnsi"/>
          <w:sz w:val="18"/>
          <w:szCs w:val="18"/>
        </w:rPr>
        <w:t xml:space="preserve"> je </w:t>
      </w:r>
      <w:proofErr w:type="spellStart"/>
      <w:r w:rsidRPr="00475398">
        <w:rPr>
          <w:rFonts w:asciiTheme="majorHAnsi" w:hAnsiTheme="majorHAnsi"/>
          <w:sz w:val="18"/>
          <w:szCs w:val="18"/>
        </w:rPr>
        <w:t>trebalo</w:t>
      </w:r>
      <w:proofErr w:type="spellEnd"/>
      <w:r w:rsidRPr="00475398">
        <w:rPr>
          <w:rFonts w:asciiTheme="majorHAnsi" w:hAnsiTheme="majorHAnsi"/>
          <w:sz w:val="18"/>
          <w:szCs w:val="18"/>
        </w:rPr>
        <w:t xml:space="preserve"> da </w:t>
      </w:r>
      <w:proofErr w:type="spellStart"/>
      <w:r w:rsidRPr="00475398">
        <w:rPr>
          <w:rFonts w:asciiTheme="majorHAnsi" w:hAnsiTheme="majorHAnsi"/>
          <w:sz w:val="18"/>
          <w:szCs w:val="18"/>
        </w:rPr>
        <w:t>obezbede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zaštitu</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od</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nekih</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oblika</w:t>
      </w:r>
      <w:proofErr w:type="spellEnd"/>
      <w:r w:rsidRPr="00475398">
        <w:rPr>
          <w:rFonts w:asciiTheme="majorHAnsi" w:hAnsiTheme="majorHAnsi"/>
          <w:sz w:val="18"/>
          <w:szCs w:val="18"/>
        </w:rPr>
        <w:t xml:space="preserve"> </w:t>
      </w:r>
      <w:proofErr w:type="spellStart"/>
      <w:r w:rsidRPr="00475398">
        <w:rPr>
          <w:rFonts w:asciiTheme="majorHAnsi" w:hAnsiTheme="majorHAnsi"/>
          <w:b/>
          <w:sz w:val="18"/>
          <w:szCs w:val="18"/>
        </w:rPr>
        <w:t>p</w:t>
      </w:r>
      <w:r w:rsidRPr="00475398">
        <w:rPr>
          <w:rFonts w:asciiTheme="majorHAnsi" w:hAnsiTheme="majorHAnsi"/>
          <w:b/>
          <w:bCs/>
          <w:sz w:val="18"/>
          <w:szCs w:val="18"/>
        </w:rPr>
        <w:t>olitički</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motivisanog</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arbitrernog</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raspolaganja</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javnim</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sredstvima</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npr</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odluke</w:t>
      </w:r>
      <w:proofErr w:type="spellEnd"/>
      <w:r w:rsidRPr="00475398">
        <w:rPr>
          <w:rFonts w:asciiTheme="majorHAnsi" w:hAnsiTheme="majorHAnsi"/>
          <w:bCs/>
          <w:sz w:val="18"/>
          <w:szCs w:val="18"/>
        </w:rPr>
        <w:t xml:space="preserve"> o </w:t>
      </w:r>
      <w:proofErr w:type="spellStart"/>
      <w:r w:rsidRPr="00475398">
        <w:rPr>
          <w:rFonts w:asciiTheme="majorHAnsi" w:hAnsiTheme="majorHAnsi"/>
          <w:bCs/>
          <w:sz w:val="18"/>
          <w:szCs w:val="18"/>
        </w:rPr>
        <w:t>dodeli</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subvencija</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i</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drugih</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vidova</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državne</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pomoći</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odluke</w:t>
      </w:r>
      <w:proofErr w:type="spellEnd"/>
      <w:r w:rsidRPr="00475398">
        <w:rPr>
          <w:rFonts w:asciiTheme="majorHAnsi" w:hAnsiTheme="majorHAnsi"/>
          <w:bCs/>
          <w:sz w:val="18"/>
          <w:szCs w:val="18"/>
        </w:rPr>
        <w:t xml:space="preserve"> o </w:t>
      </w:r>
      <w:proofErr w:type="spellStart"/>
      <w:r w:rsidRPr="00475398">
        <w:rPr>
          <w:rFonts w:asciiTheme="majorHAnsi" w:hAnsiTheme="majorHAnsi"/>
          <w:bCs/>
          <w:sz w:val="18"/>
          <w:szCs w:val="18"/>
        </w:rPr>
        <w:t>investiranju</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ili</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ustupanju</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budžetskih</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sredstava</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nižim</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nivoima</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vlasti</w:t>
      </w:r>
      <w:proofErr w:type="spellEnd"/>
      <w:r w:rsidRPr="00475398">
        <w:rPr>
          <w:rFonts w:asciiTheme="majorHAnsi" w:hAnsiTheme="majorHAnsi"/>
          <w:bCs/>
          <w:sz w:val="18"/>
          <w:szCs w:val="18"/>
        </w:rPr>
        <w:t xml:space="preserve">); </w:t>
      </w:r>
      <w:r w:rsidRPr="00475398">
        <w:rPr>
          <w:rFonts w:asciiTheme="majorHAnsi" w:hAnsiTheme="majorHAnsi"/>
          <w:sz w:val="18"/>
          <w:szCs w:val="18"/>
        </w:rPr>
        <w:t xml:space="preserve">U </w:t>
      </w:r>
      <w:proofErr w:type="spellStart"/>
      <w:r w:rsidRPr="00475398">
        <w:rPr>
          <w:rFonts w:asciiTheme="majorHAnsi" w:hAnsiTheme="majorHAnsi"/>
          <w:sz w:val="18"/>
          <w:szCs w:val="18"/>
        </w:rPr>
        <w:t>delu</w:t>
      </w:r>
      <w:proofErr w:type="spellEnd"/>
      <w:r w:rsidRPr="00475398">
        <w:rPr>
          <w:rFonts w:asciiTheme="majorHAnsi" w:hAnsiTheme="majorHAnsi"/>
          <w:sz w:val="18"/>
          <w:szCs w:val="18"/>
        </w:rPr>
        <w:t xml:space="preserve"> o </w:t>
      </w:r>
      <w:proofErr w:type="spellStart"/>
      <w:r w:rsidRPr="00475398">
        <w:rPr>
          <w:rFonts w:asciiTheme="majorHAnsi" w:hAnsiTheme="majorHAnsi"/>
          <w:sz w:val="18"/>
          <w:szCs w:val="18"/>
        </w:rPr>
        <w:t>pravosuđu</w:t>
      </w:r>
      <w:proofErr w:type="spellEnd"/>
      <w:r w:rsidRPr="00475398">
        <w:rPr>
          <w:rFonts w:asciiTheme="majorHAnsi" w:hAnsiTheme="majorHAnsi"/>
          <w:sz w:val="18"/>
          <w:szCs w:val="18"/>
        </w:rPr>
        <w:t xml:space="preserve"> Strategija ne </w:t>
      </w:r>
      <w:proofErr w:type="spellStart"/>
      <w:r w:rsidRPr="00475398">
        <w:rPr>
          <w:rFonts w:asciiTheme="majorHAnsi" w:hAnsiTheme="majorHAnsi"/>
          <w:sz w:val="18"/>
          <w:szCs w:val="18"/>
        </w:rPr>
        <w:t>sadrži</w:t>
      </w:r>
      <w:proofErr w:type="spellEnd"/>
      <w:r w:rsidRPr="00475398">
        <w:rPr>
          <w:rFonts w:asciiTheme="majorHAnsi" w:hAnsiTheme="majorHAnsi"/>
          <w:sz w:val="18"/>
          <w:szCs w:val="18"/>
        </w:rPr>
        <w:t xml:space="preserve"> mere u </w:t>
      </w:r>
      <w:proofErr w:type="spellStart"/>
      <w:r w:rsidRPr="00475398">
        <w:rPr>
          <w:rFonts w:asciiTheme="majorHAnsi" w:hAnsiTheme="majorHAnsi"/>
          <w:sz w:val="18"/>
          <w:szCs w:val="18"/>
        </w:rPr>
        <w:t>vezi</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sa</w:t>
      </w:r>
      <w:proofErr w:type="spellEnd"/>
      <w:r w:rsidRPr="00475398">
        <w:rPr>
          <w:rFonts w:asciiTheme="majorHAnsi" w:hAnsiTheme="majorHAnsi"/>
          <w:sz w:val="18"/>
          <w:szCs w:val="18"/>
        </w:rPr>
        <w:t xml:space="preserve"> </w:t>
      </w:r>
      <w:proofErr w:type="spellStart"/>
      <w:r w:rsidRPr="00475398">
        <w:rPr>
          <w:rFonts w:asciiTheme="majorHAnsi" w:hAnsiTheme="majorHAnsi"/>
          <w:b/>
          <w:sz w:val="18"/>
          <w:szCs w:val="18"/>
        </w:rPr>
        <w:t>naknadom</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štete</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žrtvama</w:t>
      </w:r>
      <w:proofErr w:type="spellEnd"/>
      <w:r w:rsidRPr="00475398">
        <w:rPr>
          <w:rFonts w:asciiTheme="majorHAnsi" w:hAnsiTheme="majorHAnsi"/>
          <w:b/>
          <w:sz w:val="18"/>
          <w:szCs w:val="18"/>
        </w:rPr>
        <w:t xml:space="preserve"> korupcije</w:t>
      </w:r>
      <w:r w:rsidRPr="00475398">
        <w:rPr>
          <w:rFonts w:asciiTheme="majorHAnsi" w:hAnsiTheme="majorHAnsi"/>
          <w:sz w:val="18"/>
          <w:szCs w:val="18"/>
        </w:rPr>
        <w:t xml:space="preserve">, </w:t>
      </w:r>
      <w:proofErr w:type="spellStart"/>
      <w:r w:rsidRPr="00475398">
        <w:rPr>
          <w:rFonts w:asciiTheme="majorHAnsi" w:hAnsiTheme="majorHAnsi"/>
          <w:sz w:val="18"/>
          <w:szCs w:val="18"/>
        </w:rPr>
        <w:t>proširenje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kruga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lica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koja</w:t>
      </w:r>
      <w:proofErr w:type="spellEnd"/>
      <w:r w:rsidRPr="00475398">
        <w:rPr>
          <w:rFonts w:asciiTheme="majorHAnsi" w:hAnsiTheme="majorHAnsi"/>
          <w:sz w:val="18"/>
          <w:szCs w:val="18"/>
        </w:rPr>
        <w:t xml:space="preserve"> </w:t>
      </w:r>
      <w:proofErr w:type="spellStart"/>
      <w:r w:rsidRPr="00475398">
        <w:rPr>
          <w:rFonts w:asciiTheme="majorHAnsi" w:hAnsiTheme="majorHAnsi"/>
          <w:b/>
          <w:sz w:val="18"/>
          <w:szCs w:val="18"/>
        </w:rPr>
        <w:t>mogu</w:t>
      </w:r>
      <w:proofErr w:type="spellEnd"/>
      <w:r w:rsidRPr="00475398">
        <w:rPr>
          <w:rFonts w:asciiTheme="majorHAnsi" w:hAnsiTheme="majorHAnsi"/>
          <w:b/>
          <w:sz w:val="18"/>
          <w:szCs w:val="18"/>
        </w:rPr>
        <w:t xml:space="preserve"> da </w:t>
      </w:r>
      <w:proofErr w:type="spellStart"/>
      <w:r w:rsidRPr="00475398">
        <w:rPr>
          <w:rFonts w:asciiTheme="majorHAnsi" w:hAnsiTheme="majorHAnsi"/>
          <w:b/>
          <w:sz w:val="18"/>
          <w:szCs w:val="18"/>
        </w:rPr>
        <w:t>preduzmu</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krivično</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gonjenje</w:t>
      </w:r>
      <w:proofErr w:type="spellEnd"/>
      <w:r w:rsidRPr="00475398">
        <w:rPr>
          <w:rFonts w:asciiTheme="majorHAnsi" w:hAnsiTheme="majorHAnsi"/>
          <w:b/>
          <w:sz w:val="18"/>
          <w:szCs w:val="18"/>
        </w:rPr>
        <w:t xml:space="preserve"> korupcije</w:t>
      </w:r>
      <w:r w:rsidRPr="00475398">
        <w:rPr>
          <w:rFonts w:asciiTheme="majorHAnsi" w:hAnsiTheme="majorHAnsi"/>
          <w:sz w:val="18"/>
          <w:szCs w:val="18"/>
        </w:rPr>
        <w:t xml:space="preserve">, ne </w:t>
      </w:r>
      <w:proofErr w:type="spellStart"/>
      <w:r w:rsidRPr="00475398">
        <w:rPr>
          <w:rFonts w:asciiTheme="majorHAnsi" w:hAnsiTheme="majorHAnsi"/>
          <w:sz w:val="18"/>
          <w:szCs w:val="18"/>
        </w:rPr>
        <w:t>definiše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jasno</w:t>
      </w:r>
      <w:proofErr w:type="spellEnd"/>
      <w:r w:rsidRPr="00475398">
        <w:rPr>
          <w:rFonts w:asciiTheme="majorHAnsi" w:hAnsiTheme="majorHAnsi"/>
          <w:sz w:val="18"/>
          <w:szCs w:val="18"/>
        </w:rPr>
        <w:t xml:space="preserve"> </w:t>
      </w:r>
      <w:proofErr w:type="spellStart"/>
      <w:r w:rsidRPr="00475398">
        <w:rPr>
          <w:rFonts w:asciiTheme="majorHAnsi" w:hAnsiTheme="majorHAnsi"/>
          <w:b/>
          <w:sz w:val="18"/>
          <w:szCs w:val="18"/>
        </w:rPr>
        <w:t>šta</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obuhvata</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proaktivnost</w:t>
      </w:r>
      <w:proofErr w:type="spellEnd"/>
      <w:r w:rsidRPr="00475398">
        <w:rPr>
          <w:rFonts w:asciiTheme="majorHAnsi" w:hAnsiTheme="majorHAnsi"/>
          <w:sz w:val="18"/>
          <w:szCs w:val="18"/>
        </w:rPr>
        <w:t xml:space="preserve"> u </w:t>
      </w:r>
      <w:proofErr w:type="spellStart"/>
      <w:r w:rsidRPr="00475398">
        <w:rPr>
          <w:rFonts w:asciiTheme="majorHAnsi" w:hAnsiTheme="majorHAnsi"/>
          <w:sz w:val="18"/>
          <w:szCs w:val="18"/>
        </w:rPr>
        <w:t>gonjenju</w:t>
      </w:r>
      <w:proofErr w:type="spellEnd"/>
      <w:r w:rsidRPr="00475398">
        <w:rPr>
          <w:rFonts w:asciiTheme="majorHAnsi" w:hAnsiTheme="majorHAnsi"/>
          <w:sz w:val="18"/>
          <w:szCs w:val="18"/>
        </w:rPr>
        <w:t xml:space="preserve"> korupcije, </w:t>
      </w:r>
      <w:proofErr w:type="spellStart"/>
      <w:r w:rsidRPr="00475398">
        <w:rPr>
          <w:rFonts w:asciiTheme="majorHAnsi" w:hAnsiTheme="majorHAnsi"/>
          <w:sz w:val="18"/>
          <w:szCs w:val="18"/>
        </w:rPr>
        <w:t>upućuje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na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Strategiju</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reforme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pravosuđa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kad</w:t>
      </w:r>
      <w:proofErr w:type="spellEnd"/>
      <w:r w:rsidRPr="00475398">
        <w:rPr>
          <w:rFonts w:asciiTheme="majorHAnsi" w:hAnsiTheme="majorHAnsi"/>
          <w:sz w:val="18"/>
          <w:szCs w:val="18"/>
        </w:rPr>
        <w:t xml:space="preserve"> je </w:t>
      </w:r>
      <w:proofErr w:type="spellStart"/>
      <w:r w:rsidRPr="00475398">
        <w:rPr>
          <w:rFonts w:asciiTheme="majorHAnsi" w:hAnsiTheme="majorHAnsi"/>
          <w:sz w:val="18"/>
          <w:szCs w:val="18"/>
        </w:rPr>
        <w:t>reč</w:t>
      </w:r>
      <w:proofErr w:type="spellEnd"/>
      <w:r w:rsidRPr="00475398">
        <w:rPr>
          <w:rFonts w:asciiTheme="majorHAnsi" w:hAnsiTheme="majorHAnsi"/>
          <w:sz w:val="18"/>
          <w:szCs w:val="18"/>
        </w:rPr>
        <w:t xml:space="preserve"> o </w:t>
      </w:r>
      <w:proofErr w:type="spellStart"/>
      <w:r w:rsidRPr="00475398">
        <w:rPr>
          <w:rFonts w:asciiTheme="majorHAnsi" w:hAnsiTheme="majorHAnsi"/>
          <w:sz w:val="18"/>
          <w:szCs w:val="18"/>
        </w:rPr>
        <w:t>merama</w:t>
      </w:r>
      <w:proofErr w:type="spellEnd"/>
      <w:r w:rsidRPr="00475398">
        <w:rPr>
          <w:rFonts w:asciiTheme="majorHAnsi" w:hAnsiTheme="majorHAnsi"/>
          <w:sz w:val="18"/>
          <w:szCs w:val="18"/>
        </w:rPr>
        <w:t xml:space="preserve"> </w:t>
      </w:r>
      <w:r w:rsidRPr="00475398">
        <w:rPr>
          <w:rFonts w:asciiTheme="majorHAnsi" w:hAnsiTheme="majorHAnsi"/>
          <w:b/>
          <w:sz w:val="18"/>
          <w:szCs w:val="18"/>
        </w:rPr>
        <w:t xml:space="preserve">za </w:t>
      </w:r>
      <w:proofErr w:type="spellStart"/>
      <w:r w:rsidRPr="00475398">
        <w:rPr>
          <w:rFonts w:asciiTheme="majorHAnsi" w:hAnsiTheme="majorHAnsi"/>
          <w:b/>
          <w:sz w:val="18"/>
          <w:szCs w:val="18"/>
        </w:rPr>
        <w:t>odgovornost</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sudija</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i</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tužilaca</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i</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organizaciju</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sudova</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i</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tužilaštava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koji</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će</w:t>
      </w:r>
      <w:proofErr w:type="spellEnd"/>
      <w:r w:rsidRPr="00475398">
        <w:rPr>
          <w:rFonts w:asciiTheme="majorHAnsi" w:hAnsiTheme="majorHAnsi"/>
          <w:sz w:val="18"/>
          <w:szCs w:val="18"/>
        </w:rPr>
        <w:t xml:space="preserve"> se </w:t>
      </w:r>
      <w:proofErr w:type="spellStart"/>
      <w:r w:rsidRPr="00475398">
        <w:rPr>
          <w:rFonts w:asciiTheme="majorHAnsi" w:hAnsiTheme="majorHAnsi"/>
          <w:sz w:val="18"/>
          <w:szCs w:val="18"/>
        </w:rPr>
        <w:t>baviti</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najtežim</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slučajevima</w:t>
      </w:r>
      <w:proofErr w:type="spellEnd"/>
      <w:r w:rsidRPr="00475398">
        <w:rPr>
          <w:rFonts w:asciiTheme="majorHAnsi" w:hAnsiTheme="majorHAnsi"/>
          <w:sz w:val="18"/>
          <w:szCs w:val="18"/>
        </w:rPr>
        <w:t xml:space="preserve"> korupcije; U </w:t>
      </w:r>
      <w:proofErr w:type="spellStart"/>
      <w:r w:rsidRPr="00475398">
        <w:rPr>
          <w:rFonts w:asciiTheme="majorHAnsi" w:hAnsiTheme="majorHAnsi"/>
          <w:sz w:val="18"/>
          <w:szCs w:val="18"/>
        </w:rPr>
        <w:t>delu</w:t>
      </w:r>
      <w:proofErr w:type="spellEnd"/>
      <w:r w:rsidRPr="00475398">
        <w:rPr>
          <w:rFonts w:asciiTheme="majorHAnsi" w:hAnsiTheme="majorHAnsi"/>
          <w:sz w:val="18"/>
          <w:szCs w:val="18"/>
        </w:rPr>
        <w:t xml:space="preserve"> o </w:t>
      </w:r>
      <w:proofErr w:type="spellStart"/>
      <w:r w:rsidRPr="00475398">
        <w:rPr>
          <w:rFonts w:asciiTheme="majorHAnsi" w:hAnsiTheme="majorHAnsi"/>
          <w:sz w:val="18"/>
          <w:szCs w:val="18"/>
        </w:rPr>
        <w:t>prostornom</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planiranju</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i</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izgradnji</w:t>
      </w:r>
      <w:proofErr w:type="spellEnd"/>
      <w:r w:rsidRPr="00475398">
        <w:rPr>
          <w:rFonts w:asciiTheme="majorHAnsi" w:hAnsiTheme="majorHAnsi"/>
          <w:sz w:val="18"/>
          <w:szCs w:val="18"/>
        </w:rPr>
        <w:t xml:space="preserve"> Strategija </w:t>
      </w:r>
      <w:proofErr w:type="spellStart"/>
      <w:r w:rsidRPr="00475398">
        <w:rPr>
          <w:rFonts w:asciiTheme="majorHAnsi" w:hAnsiTheme="majorHAnsi"/>
          <w:sz w:val="18"/>
          <w:szCs w:val="18"/>
        </w:rPr>
        <w:t>uopšte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ne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pominje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nepostupanje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državnih</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organa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kao</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uzročnik</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problema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divlje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gradnje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kao</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ni</w:t>
      </w:r>
      <w:proofErr w:type="spellEnd"/>
      <w:r w:rsidRPr="00475398">
        <w:rPr>
          <w:rFonts w:asciiTheme="majorHAnsi" w:hAnsiTheme="majorHAnsi"/>
          <w:sz w:val="18"/>
          <w:szCs w:val="18"/>
        </w:rPr>
        <w:t xml:space="preserve"> problem </w:t>
      </w:r>
      <w:proofErr w:type="spellStart"/>
      <w:r w:rsidRPr="00475398">
        <w:rPr>
          <w:rFonts w:asciiTheme="majorHAnsi" w:hAnsiTheme="majorHAnsi"/>
          <w:b/>
          <w:bCs/>
          <w:sz w:val="18"/>
          <w:szCs w:val="18"/>
        </w:rPr>
        <w:t>propisivanja</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nerealnih</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ili</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nepreciznih</w:t>
      </w:r>
      <w:proofErr w:type="spellEnd"/>
      <w:r w:rsidRPr="00475398">
        <w:rPr>
          <w:rFonts w:asciiTheme="majorHAnsi" w:hAnsiTheme="majorHAnsi"/>
          <w:bCs/>
          <w:sz w:val="18"/>
          <w:szCs w:val="18"/>
        </w:rPr>
        <w:t xml:space="preserve"> </w:t>
      </w:r>
      <w:proofErr w:type="spellStart"/>
      <w:r w:rsidRPr="00475398">
        <w:rPr>
          <w:rFonts w:asciiTheme="majorHAnsi" w:hAnsiTheme="majorHAnsi"/>
          <w:b/>
          <w:bCs/>
          <w:sz w:val="18"/>
          <w:szCs w:val="18"/>
        </w:rPr>
        <w:t>urbanističkih</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planova</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kako</w:t>
      </w:r>
      <w:proofErr w:type="spellEnd"/>
      <w:r w:rsidRPr="00475398">
        <w:rPr>
          <w:rFonts w:asciiTheme="majorHAnsi" w:hAnsiTheme="majorHAnsi"/>
          <w:bCs/>
          <w:sz w:val="18"/>
          <w:szCs w:val="18"/>
        </w:rPr>
        <w:t xml:space="preserve"> bi se </w:t>
      </w:r>
      <w:proofErr w:type="spellStart"/>
      <w:r w:rsidRPr="00475398">
        <w:rPr>
          <w:rFonts w:asciiTheme="majorHAnsi" w:hAnsiTheme="majorHAnsi"/>
          <w:bCs/>
          <w:sz w:val="18"/>
          <w:szCs w:val="18"/>
        </w:rPr>
        <w:t>kroz</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pojedinačne</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izmene</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iznudilo</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mito</w:t>
      </w:r>
      <w:proofErr w:type="spellEnd"/>
      <w:r w:rsidRPr="00475398">
        <w:rPr>
          <w:rFonts w:asciiTheme="majorHAnsi" w:hAnsiTheme="majorHAnsi"/>
          <w:bCs/>
          <w:sz w:val="18"/>
          <w:szCs w:val="18"/>
        </w:rPr>
        <w:t xml:space="preserve"> od </w:t>
      </w:r>
      <w:proofErr w:type="spellStart"/>
      <w:r w:rsidRPr="00475398">
        <w:rPr>
          <w:rFonts w:asciiTheme="majorHAnsi" w:hAnsiTheme="majorHAnsi"/>
          <w:bCs/>
          <w:sz w:val="18"/>
          <w:szCs w:val="18"/>
        </w:rPr>
        <w:t>investitora</w:t>
      </w:r>
      <w:proofErr w:type="spellEnd"/>
      <w:r w:rsidRPr="00475398">
        <w:rPr>
          <w:rFonts w:asciiTheme="majorHAnsi" w:hAnsiTheme="majorHAnsi"/>
          <w:bCs/>
          <w:sz w:val="18"/>
          <w:szCs w:val="18"/>
        </w:rPr>
        <w:t xml:space="preserve">; U </w:t>
      </w:r>
      <w:proofErr w:type="spellStart"/>
      <w:r w:rsidRPr="00475398">
        <w:rPr>
          <w:rFonts w:asciiTheme="majorHAnsi" w:hAnsiTheme="majorHAnsi"/>
          <w:bCs/>
          <w:sz w:val="18"/>
          <w:szCs w:val="18"/>
        </w:rPr>
        <w:t>delu</w:t>
      </w:r>
      <w:proofErr w:type="spellEnd"/>
      <w:r w:rsidRPr="00475398">
        <w:rPr>
          <w:rFonts w:asciiTheme="majorHAnsi" w:hAnsiTheme="majorHAnsi"/>
          <w:bCs/>
          <w:sz w:val="18"/>
          <w:szCs w:val="18"/>
        </w:rPr>
        <w:t xml:space="preserve"> o </w:t>
      </w:r>
      <w:proofErr w:type="spellStart"/>
      <w:r w:rsidRPr="00475398">
        <w:rPr>
          <w:rFonts w:asciiTheme="majorHAnsi" w:hAnsiTheme="majorHAnsi"/>
          <w:bCs/>
          <w:sz w:val="18"/>
          <w:szCs w:val="18"/>
        </w:rPr>
        <w:t>medijima</w:t>
      </w:r>
      <w:proofErr w:type="spellEnd"/>
      <w:r w:rsidRPr="00475398">
        <w:rPr>
          <w:rFonts w:asciiTheme="majorHAnsi" w:hAnsiTheme="majorHAnsi"/>
          <w:bCs/>
          <w:sz w:val="18"/>
          <w:szCs w:val="18"/>
        </w:rPr>
        <w:t xml:space="preserve"> se </w:t>
      </w:r>
      <w:proofErr w:type="spellStart"/>
      <w:r w:rsidRPr="00475398">
        <w:rPr>
          <w:rFonts w:asciiTheme="majorHAnsi" w:hAnsiTheme="majorHAnsi"/>
          <w:bCs/>
          <w:sz w:val="18"/>
          <w:szCs w:val="18"/>
        </w:rPr>
        <w:t>govori</w:t>
      </w:r>
      <w:proofErr w:type="spellEnd"/>
      <w:r w:rsidRPr="00475398">
        <w:rPr>
          <w:rFonts w:asciiTheme="majorHAnsi" w:hAnsiTheme="majorHAnsi"/>
          <w:bCs/>
          <w:sz w:val="18"/>
          <w:szCs w:val="18"/>
        </w:rPr>
        <w:t xml:space="preserve"> o </w:t>
      </w:r>
      <w:proofErr w:type="spellStart"/>
      <w:r w:rsidRPr="00475398">
        <w:rPr>
          <w:rFonts w:asciiTheme="majorHAnsi" w:hAnsiTheme="majorHAnsi"/>
          <w:bCs/>
          <w:sz w:val="18"/>
          <w:szCs w:val="18"/>
        </w:rPr>
        <w:t>transparentnosti</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strukture</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vlasništva</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i</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državne</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pomoći</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ali</w:t>
      </w:r>
      <w:proofErr w:type="spellEnd"/>
      <w:r w:rsidRPr="00475398">
        <w:rPr>
          <w:rFonts w:asciiTheme="majorHAnsi" w:hAnsiTheme="majorHAnsi"/>
          <w:bCs/>
          <w:sz w:val="18"/>
          <w:szCs w:val="18"/>
        </w:rPr>
        <w:t xml:space="preserve"> se </w:t>
      </w:r>
      <w:proofErr w:type="spellStart"/>
      <w:r w:rsidRPr="00475398">
        <w:rPr>
          <w:rFonts w:asciiTheme="majorHAnsi" w:hAnsiTheme="majorHAnsi"/>
          <w:bCs/>
          <w:sz w:val="18"/>
          <w:szCs w:val="18"/>
        </w:rPr>
        <w:t>prenebregava</w:t>
      </w:r>
      <w:proofErr w:type="spellEnd"/>
      <w:r w:rsidRPr="00475398">
        <w:rPr>
          <w:rFonts w:asciiTheme="majorHAnsi" w:hAnsiTheme="majorHAnsi"/>
          <w:bCs/>
          <w:sz w:val="18"/>
          <w:szCs w:val="18"/>
        </w:rPr>
        <w:t xml:space="preserve"> problem </w:t>
      </w:r>
      <w:proofErr w:type="spellStart"/>
      <w:r w:rsidRPr="00475398">
        <w:rPr>
          <w:rFonts w:asciiTheme="majorHAnsi" w:hAnsiTheme="majorHAnsi"/>
          <w:b/>
          <w:bCs/>
          <w:sz w:val="18"/>
          <w:szCs w:val="18"/>
        </w:rPr>
        <w:t>javnosti</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drugih</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podataka</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koji</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su</w:t>
      </w:r>
      <w:proofErr w:type="spellEnd"/>
      <w:r w:rsidRPr="00475398">
        <w:rPr>
          <w:rFonts w:asciiTheme="majorHAnsi" w:hAnsiTheme="majorHAnsi"/>
          <w:b/>
          <w:bCs/>
          <w:sz w:val="18"/>
          <w:szCs w:val="18"/>
        </w:rPr>
        <w:t xml:space="preserve"> od </w:t>
      </w:r>
      <w:proofErr w:type="spellStart"/>
      <w:r w:rsidRPr="00475398">
        <w:rPr>
          <w:rFonts w:asciiTheme="majorHAnsi" w:hAnsiTheme="majorHAnsi"/>
          <w:b/>
          <w:bCs/>
          <w:sz w:val="18"/>
          <w:szCs w:val="18"/>
        </w:rPr>
        <w:t>značaja</w:t>
      </w:r>
      <w:proofErr w:type="spellEnd"/>
      <w:r w:rsidRPr="00475398">
        <w:rPr>
          <w:rFonts w:asciiTheme="majorHAnsi" w:hAnsiTheme="majorHAnsi"/>
          <w:b/>
          <w:bCs/>
          <w:sz w:val="18"/>
          <w:szCs w:val="18"/>
        </w:rPr>
        <w:t xml:space="preserve"> za </w:t>
      </w:r>
      <w:proofErr w:type="spellStart"/>
      <w:r w:rsidRPr="00475398">
        <w:rPr>
          <w:rFonts w:asciiTheme="majorHAnsi" w:hAnsiTheme="majorHAnsi"/>
          <w:b/>
          <w:bCs/>
          <w:sz w:val="18"/>
          <w:szCs w:val="18"/>
        </w:rPr>
        <w:t>mogući</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uticaj</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na</w:t>
      </w:r>
      <w:proofErr w:type="spellEnd"/>
      <w:r w:rsidRPr="00475398">
        <w:rPr>
          <w:rFonts w:asciiTheme="majorHAnsi" w:hAnsiTheme="majorHAnsi"/>
          <w:b/>
          <w:bCs/>
          <w:sz w:val="18"/>
          <w:szCs w:val="18"/>
        </w:rPr>
        <w:t xml:space="preserve"> rad </w:t>
      </w:r>
      <w:proofErr w:type="spellStart"/>
      <w:r w:rsidRPr="00475398">
        <w:rPr>
          <w:rFonts w:asciiTheme="majorHAnsi" w:hAnsiTheme="majorHAnsi"/>
          <w:b/>
          <w:bCs/>
          <w:sz w:val="18"/>
          <w:szCs w:val="18"/>
        </w:rPr>
        <w:t>medija</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niti</w:t>
      </w:r>
      <w:proofErr w:type="spellEnd"/>
      <w:r w:rsidRPr="00475398">
        <w:rPr>
          <w:rFonts w:asciiTheme="majorHAnsi" w:hAnsiTheme="majorHAnsi"/>
          <w:b/>
          <w:bCs/>
          <w:sz w:val="18"/>
          <w:szCs w:val="18"/>
        </w:rPr>
        <w:t xml:space="preserve"> o </w:t>
      </w:r>
      <w:proofErr w:type="spellStart"/>
      <w:r w:rsidRPr="00475398">
        <w:rPr>
          <w:rFonts w:asciiTheme="majorHAnsi" w:hAnsiTheme="majorHAnsi"/>
          <w:b/>
          <w:bCs/>
          <w:sz w:val="18"/>
          <w:szCs w:val="18"/>
        </w:rPr>
        <w:t>drugim</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vidovima</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diskriminacije</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medija</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od</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strane</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organa</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vlasti</w:t>
      </w:r>
      <w:proofErr w:type="spellEnd"/>
      <w:r w:rsidRPr="00475398">
        <w:rPr>
          <w:rFonts w:asciiTheme="majorHAnsi" w:hAnsiTheme="majorHAnsi"/>
          <w:b/>
          <w:bCs/>
          <w:sz w:val="18"/>
          <w:szCs w:val="18"/>
        </w:rPr>
        <w:t xml:space="preserve">; </w:t>
      </w:r>
      <w:r w:rsidRPr="00475398">
        <w:rPr>
          <w:rFonts w:asciiTheme="majorHAnsi" w:hAnsiTheme="majorHAnsi"/>
          <w:sz w:val="18"/>
          <w:szCs w:val="18"/>
        </w:rPr>
        <w:t xml:space="preserve">Strategija ne </w:t>
      </w:r>
      <w:proofErr w:type="spellStart"/>
      <w:r w:rsidRPr="00475398">
        <w:rPr>
          <w:rFonts w:asciiTheme="majorHAnsi" w:hAnsiTheme="majorHAnsi"/>
          <w:sz w:val="18"/>
          <w:szCs w:val="18"/>
        </w:rPr>
        <w:t>predviđa</w:t>
      </w:r>
      <w:proofErr w:type="spellEnd"/>
      <w:r w:rsidRPr="00475398">
        <w:rPr>
          <w:rFonts w:asciiTheme="majorHAnsi" w:hAnsiTheme="majorHAnsi"/>
          <w:sz w:val="18"/>
          <w:szCs w:val="18"/>
        </w:rPr>
        <w:t xml:space="preserve"> </w:t>
      </w:r>
      <w:proofErr w:type="spellStart"/>
      <w:r w:rsidRPr="00475398">
        <w:rPr>
          <w:rFonts w:asciiTheme="majorHAnsi" w:hAnsiTheme="majorHAnsi"/>
          <w:b/>
          <w:sz w:val="18"/>
          <w:szCs w:val="18"/>
        </w:rPr>
        <w:t>definisanje</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položaja</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i</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ovlašćenja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pojedinih</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institucija</w:t>
      </w:r>
      <w:proofErr w:type="spellEnd"/>
      <w:r w:rsidRPr="00475398">
        <w:rPr>
          <w:rFonts w:asciiTheme="majorHAnsi" w:hAnsiTheme="majorHAnsi"/>
          <w:sz w:val="18"/>
          <w:szCs w:val="18"/>
        </w:rPr>
        <w:t xml:space="preserve"> u </w:t>
      </w:r>
      <w:proofErr w:type="spellStart"/>
      <w:r w:rsidRPr="00475398">
        <w:rPr>
          <w:rFonts w:asciiTheme="majorHAnsi" w:hAnsiTheme="majorHAnsi"/>
          <w:sz w:val="18"/>
          <w:szCs w:val="18"/>
        </w:rPr>
        <w:t>borbi</w:t>
      </w:r>
      <w:proofErr w:type="spellEnd"/>
      <w:r w:rsidRPr="00475398">
        <w:rPr>
          <w:rFonts w:asciiTheme="majorHAnsi" w:hAnsiTheme="majorHAnsi"/>
          <w:sz w:val="18"/>
          <w:szCs w:val="18"/>
        </w:rPr>
        <w:t xml:space="preserve"> protiv korupcije (</w:t>
      </w:r>
      <w:proofErr w:type="spellStart"/>
      <w:r w:rsidRPr="00475398">
        <w:rPr>
          <w:rFonts w:asciiTheme="majorHAnsi" w:hAnsiTheme="majorHAnsi"/>
          <w:sz w:val="18"/>
          <w:szCs w:val="18"/>
        </w:rPr>
        <w:t>npr</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pitanje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dužnosti</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i</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ovlašćenja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Vladinog</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koordinatora</w:t>
      </w:r>
      <w:proofErr w:type="spellEnd"/>
      <w:r w:rsidRPr="00475398">
        <w:rPr>
          <w:rFonts w:asciiTheme="majorHAnsi" w:hAnsiTheme="majorHAnsi"/>
          <w:sz w:val="18"/>
          <w:szCs w:val="18"/>
        </w:rPr>
        <w:t xml:space="preserve"> za borbu protiv korupcije </w:t>
      </w:r>
      <w:proofErr w:type="spellStart"/>
      <w:r w:rsidRPr="00475398">
        <w:rPr>
          <w:rFonts w:asciiTheme="majorHAnsi" w:hAnsiTheme="majorHAnsi"/>
          <w:sz w:val="18"/>
          <w:szCs w:val="18"/>
        </w:rPr>
        <w:t>koje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trenutno</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nije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uređeno</w:t>
      </w:r>
      <w:proofErr w:type="spellEnd"/>
      <w:r w:rsidRPr="00475398">
        <w:rPr>
          <w:rFonts w:asciiTheme="majorHAnsi" w:hAnsiTheme="majorHAnsi"/>
          <w:sz w:val="18"/>
          <w:szCs w:val="18"/>
        </w:rPr>
        <w:t xml:space="preserve">); Strategija ne </w:t>
      </w:r>
      <w:proofErr w:type="spellStart"/>
      <w:r w:rsidRPr="00475398">
        <w:rPr>
          <w:rFonts w:asciiTheme="majorHAnsi" w:hAnsiTheme="majorHAnsi"/>
          <w:sz w:val="18"/>
          <w:szCs w:val="18"/>
        </w:rPr>
        <w:t>sadrži</w:t>
      </w:r>
      <w:proofErr w:type="spellEnd"/>
      <w:r w:rsidRPr="00475398">
        <w:rPr>
          <w:rFonts w:asciiTheme="majorHAnsi" w:hAnsiTheme="majorHAnsi"/>
          <w:sz w:val="18"/>
          <w:szCs w:val="18"/>
        </w:rPr>
        <w:t xml:space="preserve"> </w:t>
      </w:r>
      <w:proofErr w:type="spellStart"/>
      <w:r w:rsidRPr="00475398">
        <w:rPr>
          <w:rFonts w:asciiTheme="majorHAnsi" w:hAnsiTheme="majorHAnsi"/>
          <w:b/>
          <w:sz w:val="18"/>
          <w:szCs w:val="18"/>
        </w:rPr>
        <w:t>procenu</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finansijskih</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sredstava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koja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će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biti</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potrebna</w:t>
      </w:r>
      <w:proofErr w:type="spellEnd"/>
      <w:r w:rsidRPr="00475398">
        <w:rPr>
          <w:rFonts w:asciiTheme="majorHAnsi" w:hAnsiTheme="majorHAnsi"/>
          <w:sz w:val="18"/>
          <w:szCs w:val="18"/>
        </w:rPr>
        <w:t xml:space="preserve"> za </w:t>
      </w:r>
      <w:proofErr w:type="spellStart"/>
      <w:r w:rsidRPr="00475398">
        <w:rPr>
          <w:rFonts w:asciiTheme="majorHAnsi" w:hAnsiTheme="majorHAnsi"/>
          <w:sz w:val="18"/>
          <w:szCs w:val="18"/>
        </w:rPr>
        <w:t>realizaciju</w:t>
      </w:r>
      <w:proofErr w:type="spellEnd"/>
      <w:r w:rsidRPr="00475398">
        <w:rPr>
          <w:rFonts w:asciiTheme="majorHAnsi" w:hAnsiTheme="majorHAnsi"/>
          <w:sz w:val="18"/>
          <w:szCs w:val="18"/>
        </w:rPr>
        <w:t xml:space="preserve"> (ta </w:t>
      </w:r>
      <w:proofErr w:type="spellStart"/>
      <w:r w:rsidRPr="00475398">
        <w:rPr>
          <w:rFonts w:asciiTheme="majorHAnsi" w:hAnsiTheme="majorHAnsi"/>
          <w:sz w:val="18"/>
          <w:szCs w:val="18"/>
        </w:rPr>
        <w:t>procena</w:t>
      </w:r>
      <w:proofErr w:type="spellEnd"/>
      <w:r w:rsidRPr="00475398">
        <w:rPr>
          <w:rFonts w:asciiTheme="majorHAnsi" w:hAnsiTheme="majorHAnsi"/>
          <w:sz w:val="18"/>
          <w:szCs w:val="18"/>
        </w:rPr>
        <w:t xml:space="preserve"> se </w:t>
      </w:r>
      <w:proofErr w:type="spellStart"/>
      <w:r w:rsidRPr="00475398">
        <w:rPr>
          <w:rFonts w:asciiTheme="majorHAnsi" w:hAnsiTheme="majorHAnsi"/>
          <w:sz w:val="18"/>
          <w:szCs w:val="18"/>
        </w:rPr>
        <w:t>može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dati</w:t>
      </w:r>
      <w:proofErr w:type="spellEnd"/>
      <w:r w:rsidRPr="00475398">
        <w:rPr>
          <w:rFonts w:asciiTheme="majorHAnsi" w:hAnsiTheme="majorHAnsi"/>
          <w:sz w:val="18"/>
          <w:szCs w:val="18"/>
        </w:rPr>
        <w:t xml:space="preserve"> u </w:t>
      </w:r>
      <w:proofErr w:type="spellStart"/>
      <w:r w:rsidRPr="00475398">
        <w:rPr>
          <w:rFonts w:asciiTheme="majorHAnsi" w:hAnsiTheme="majorHAnsi"/>
          <w:sz w:val="18"/>
          <w:szCs w:val="18"/>
        </w:rPr>
        <w:t>Akcionom</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planu</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ali</w:t>
      </w:r>
      <w:proofErr w:type="spellEnd"/>
      <w:r w:rsidRPr="00475398">
        <w:rPr>
          <w:rFonts w:asciiTheme="majorHAnsi" w:hAnsiTheme="majorHAnsi"/>
          <w:sz w:val="18"/>
          <w:szCs w:val="18"/>
        </w:rPr>
        <w:t xml:space="preserve"> se u </w:t>
      </w:r>
      <w:proofErr w:type="spellStart"/>
      <w:r w:rsidRPr="00475398">
        <w:rPr>
          <w:rFonts w:asciiTheme="majorHAnsi" w:hAnsiTheme="majorHAnsi"/>
          <w:sz w:val="18"/>
          <w:szCs w:val="18"/>
        </w:rPr>
        <w:t>obrazloženju</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nalazi</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očigledno</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netačna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tvrdnja</w:t>
      </w:r>
      <w:proofErr w:type="spellEnd"/>
      <w:r w:rsidRPr="00475398">
        <w:rPr>
          <w:rFonts w:asciiTheme="majorHAnsi" w:hAnsiTheme="majorHAnsi"/>
          <w:sz w:val="18"/>
          <w:szCs w:val="18"/>
        </w:rPr>
        <w:t xml:space="preserve"> da „za </w:t>
      </w:r>
      <w:proofErr w:type="spellStart"/>
      <w:r w:rsidRPr="00475398">
        <w:rPr>
          <w:rFonts w:asciiTheme="majorHAnsi" w:hAnsiTheme="majorHAnsi"/>
          <w:sz w:val="18"/>
          <w:szCs w:val="18"/>
        </w:rPr>
        <w:t>sprovođenje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ove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strategije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nije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potrebno</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obezbediti</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dodatna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finansijska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sredstva</w:t>
      </w:r>
      <w:proofErr w:type="spellEnd"/>
      <w:r w:rsidRPr="00475398">
        <w:rPr>
          <w:rFonts w:asciiTheme="majorHAnsi" w:hAnsiTheme="majorHAnsi"/>
          <w:sz w:val="18"/>
          <w:szCs w:val="18"/>
        </w:rPr>
        <w:t xml:space="preserve"> u </w:t>
      </w:r>
      <w:proofErr w:type="spellStart"/>
      <w:r w:rsidRPr="00475398">
        <w:rPr>
          <w:rFonts w:asciiTheme="majorHAnsi" w:hAnsiTheme="majorHAnsi"/>
          <w:sz w:val="18"/>
          <w:szCs w:val="18"/>
        </w:rPr>
        <w:t>budžetu</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Republike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Srbije</w:t>
      </w:r>
      <w:proofErr w:type="spellEnd"/>
      <w:r w:rsidRPr="00475398">
        <w:rPr>
          <w:rFonts w:asciiTheme="majorHAnsi" w:hAnsiTheme="majorHAnsi"/>
          <w:sz w:val="18"/>
          <w:szCs w:val="18"/>
        </w:rPr>
        <w:t xml:space="preserve">“); </w:t>
      </w:r>
      <w:r w:rsidRPr="00475398">
        <w:rPr>
          <w:rFonts w:asciiTheme="majorHAnsi" w:hAnsiTheme="majorHAnsi"/>
          <w:bCs/>
          <w:sz w:val="18"/>
          <w:szCs w:val="18"/>
        </w:rPr>
        <w:t xml:space="preserve">Strategija ne </w:t>
      </w:r>
      <w:proofErr w:type="spellStart"/>
      <w:r w:rsidRPr="00475398">
        <w:rPr>
          <w:rFonts w:asciiTheme="majorHAnsi" w:hAnsiTheme="majorHAnsi"/>
          <w:bCs/>
          <w:sz w:val="18"/>
          <w:szCs w:val="18"/>
        </w:rPr>
        <w:t>razmatra</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sveobuhvatno</w:t>
      </w:r>
      <w:proofErr w:type="spellEnd"/>
      <w:r w:rsidRPr="00475398">
        <w:rPr>
          <w:rFonts w:asciiTheme="majorHAnsi" w:hAnsiTheme="majorHAnsi"/>
          <w:bCs/>
          <w:sz w:val="18"/>
          <w:szCs w:val="18"/>
        </w:rPr>
        <w:t xml:space="preserve"> problem </w:t>
      </w:r>
      <w:proofErr w:type="spellStart"/>
      <w:r w:rsidRPr="00475398">
        <w:rPr>
          <w:rFonts w:asciiTheme="majorHAnsi" w:hAnsiTheme="majorHAnsi"/>
          <w:bCs/>
          <w:sz w:val="18"/>
          <w:szCs w:val="18"/>
        </w:rPr>
        <w:t>političkog</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uticaja</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na</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postavljenja</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i</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razrešenja</w:t>
      </w:r>
      <w:proofErr w:type="spellEnd"/>
      <w:r w:rsidRPr="00475398">
        <w:rPr>
          <w:rFonts w:asciiTheme="majorHAnsi" w:hAnsiTheme="majorHAnsi"/>
          <w:bCs/>
          <w:sz w:val="18"/>
          <w:szCs w:val="18"/>
        </w:rPr>
        <w:t xml:space="preserve"> </w:t>
      </w:r>
      <w:proofErr w:type="spellStart"/>
      <w:r w:rsidRPr="00475398">
        <w:rPr>
          <w:rFonts w:asciiTheme="majorHAnsi" w:hAnsiTheme="majorHAnsi"/>
          <w:b/>
          <w:bCs/>
          <w:sz w:val="18"/>
          <w:szCs w:val="18"/>
        </w:rPr>
        <w:t>rukovodilaca</w:t>
      </w:r>
      <w:proofErr w:type="spellEnd"/>
      <w:r w:rsidRPr="00475398">
        <w:rPr>
          <w:rFonts w:asciiTheme="majorHAnsi" w:hAnsiTheme="majorHAnsi"/>
          <w:b/>
          <w:bCs/>
          <w:sz w:val="18"/>
          <w:szCs w:val="18"/>
        </w:rPr>
        <w:t xml:space="preserve"> u </w:t>
      </w:r>
      <w:proofErr w:type="spellStart"/>
      <w:r w:rsidRPr="00475398">
        <w:rPr>
          <w:rFonts w:asciiTheme="majorHAnsi" w:hAnsiTheme="majorHAnsi"/>
          <w:b/>
          <w:bCs/>
          <w:sz w:val="18"/>
          <w:szCs w:val="18"/>
        </w:rPr>
        <w:t>svim</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delovima</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javnog</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sektora</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već</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samo</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partikularno</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np</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javna</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preduzeća</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obrazovne</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institucije</w:t>
      </w:r>
      <w:proofErr w:type="spellEnd"/>
      <w:r w:rsidRPr="00475398">
        <w:rPr>
          <w:rFonts w:asciiTheme="majorHAnsi" w:hAnsiTheme="majorHAnsi"/>
          <w:bCs/>
          <w:sz w:val="18"/>
          <w:szCs w:val="18"/>
        </w:rPr>
        <w:t xml:space="preserve">); </w:t>
      </w:r>
      <w:proofErr w:type="spellStart"/>
      <w:r w:rsidRPr="00475398">
        <w:rPr>
          <w:rFonts w:asciiTheme="majorHAnsi" w:hAnsiTheme="majorHAnsi"/>
          <w:b/>
          <w:bCs/>
          <w:sz w:val="18"/>
          <w:szCs w:val="18"/>
        </w:rPr>
        <w:t>Selektivnost</w:t>
      </w:r>
      <w:proofErr w:type="spellEnd"/>
      <w:r w:rsidRPr="00475398">
        <w:rPr>
          <w:rFonts w:asciiTheme="majorHAnsi" w:hAnsiTheme="majorHAnsi"/>
          <w:b/>
          <w:bCs/>
          <w:sz w:val="18"/>
          <w:szCs w:val="18"/>
        </w:rPr>
        <w:t xml:space="preserve"> u </w:t>
      </w:r>
      <w:proofErr w:type="spellStart"/>
      <w:r w:rsidRPr="00475398">
        <w:rPr>
          <w:rFonts w:asciiTheme="majorHAnsi" w:hAnsiTheme="majorHAnsi"/>
          <w:b/>
          <w:bCs/>
          <w:sz w:val="18"/>
          <w:szCs w:val="18"/>
        </w:rPr>
        <w:t>kontrolama</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koje</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vrše</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inspekcijske</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službe</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i</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neadekvatnost</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kontrola</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koje</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pogoduju</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razvoju</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sive</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ekonomije</w:t>
      </w:r>
      <w:proofErr w:type="spellEnd"/>
      <w:r w:rsidRPr="00475398">
        <w:rPr>
          <w:rFonts w:asciiTheme="majorHAnsi" w:hAnsiTheme="majorHAnsi"/>
          <w:bCs/>
          <w:sz w:val="18"/>
          <w:szCs w:val="18"/>
        </w:rPr>
        <w:t xml:space="preserve"> se </w:t>
      </w:r>
      <w:proofErr w:type="spellStart"/>
      <w:r w:rsidRPr="00475398">
        <w:rPr>
          <w:rFonts w:asciiTheme="majorHAnsi" w:hAnsiTheme="majorHAnsi"/>
          <w:bCs/>
          <w:sz w:val="18"/>
          <w:szCs w:val="18"/>
        </w:rPr>
        <w:t>pominju</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kao</w:t>
      </w:r>
      <w:proofErr w:type="spellEnd"/>
      <w:r w:rsidRPr="00475398">
        <w:rPr>
          <w:rFonts w:asciiTheme="majorHAnsi" w:hAnsiTheme="majorHAnsi"/>
          <w:bCs/>
          <w:sz w:val="18"/>
          <w:szCs w:val="18"/>
        </w:rPr>
        <w:t xml:space="preserve"> problem za </w:t>
      </w:r>
      <w:proofErr w:type="spellStart"/>
      <w:r w:rsidRPr="00475398">
        <w:rPr>
          <w:rFonts w:asciiTheme="majorHAnsi" w:hAnsiTheme="majorHAnsi"/>
          <w:bCs/>
          <w:sz w:val="18"/>
          <w:szCs w:val="18"/>
        </w:rPr>
        <w:t>privredu</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ali</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rešenja</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nisu</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razrađena</w:t>
      </w:r>
      <w:proofErr w:type="spellEnd"/>
      <w:r w:rsidRPr="00475398">
        <w:rPr>
          <w:rFonts w:asciiTheme="majorHAnsi" w:hAnsiTheme="majorHAnsi"/>
          <w:bCs/>
          <w:sz w:val="18"/>
          <w:szCs w:val="18"/>
        </w:rPr>
        <w:t xml:space="preserve">; Strategija se, u </w:t>
      </w:r>
      <w:proofErr w:type="spellStart"/>
      <w:r w:rsidRPr="00475398">
        <w:rPr>
          <w:rFonts w:asciiTheme="majorHAnsi" w:hAnsiTheme="majorHAnsi"/>
          <w:bCs/>
          <w:sz w:val="18"/>
          <w:szCs w:val="18"/>
        </w:rPr>
        <w:t>oblasti</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javnih</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finansija</w:t>
      </w:r>
      <w:proofErr w:type="spellEnd"/>
      <w:r w:rsidRPr="00475398">
        <w:rPr>
          <w:rFonts w:asciiTheme="majorHAnsi" w:hAnsiTheme="majorHAnsi"/>
          <w:bCs/>
          <w:sz w:val="18"/>
          <w:szCs w:val="18"/>
        </w:rPr>
        <w:t xml:space="preserve">, ne </w:t>
      </w:r>
      <w:proofErr w:type="spellStart"/>
      <w:r w:rsidRPr="00475398">
        <w:rPr>
          <w:rFonts w:asciiTheme="majorHAnsi" w:hAnsiTheme="majorHAnsi"/>
          <w:bCs/>
          <w:sz w:val="18"/>
          <w:szCs w:val="18"/>
        </w:rPr>
        <w:t>bavi</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direktno</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problemom</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netransparentnosti</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i</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nemogućnosti</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uticaja</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građana</w:t>
      </w:r>
      <w:proofErr w:type="spellEnd"/>
      <w:r w:rsidRPr="00475398">
        <w:rPr>
          <w:rFonts w:asciiTheme="majorHAnsi" w:hAnsiTheme="majorHAnsi"/>
          <w:bCs/>
          <w:sz w:val="18"/>
          <w:szCs w:val="18"/>
        </w:rPr>
        <w:t xml:space="preserve"> </w:t>
      </w:r>
      <w:proofErr w:type="spellStart"/>
      <w:r w:rsidRPr="00475398">
        <w:rPr>
          <w:rFonts w:asciiTheme="majorHAnsi" w:hAnsiTheme="majorHAnsi"/>
          <w:b/>
          <w:bCs/>
          <w:sz w:val="18"/>
          <w:szCs w:val="18"/>
        </w:rPr>
        <w:t>kod</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preuzimanja</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obaveza</w:t>
      </w:r>
      <w:proofErr w:type="spellEnd"/>
      <w:r w:rsidRPr="00475398">
        <w:rPr>
          <w:rFonts w:asciiTheme="majorHAnsi" w:hAnsiTheme="majorHAnsi"/>
          <w:b/>
          <w:bCs/>
          <w:sz w:val="18"/>
          <w:szCs w:val="18"/>
        </w:rPr>
        <w:t xml:space="preserve"> za </w:t>
      </w:r>
      <w:proofErr w:type="spellStart"/>
      <w:r w:rsidRPr="00475398">
        <w:rPr>
          <w:rFonts w:asciiTheme="majorHAnsi" w:hAnsiTheme="majorHAnsi"/>
          <w:b/>
          <w:bCs/>
          <w:sz w:val="18"/>
          <w:szCs w:val="18"/>
        </w:rPr>
        <w:t>javne</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prihode</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i</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raspolaganja</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javnom</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imovinom</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dok</w:t>
      </w:r>
      <w:proofErr w:type="spellEnd"/>
      <w:r w:rsidRPr="00475398">
        <w:rPr>
          <w:rFonts w:asciiTheme="majorHAnsi" w:hAnsiTheme="majorHAnsi"/>
          <w:bCs/>
          <w:sz w:val="18"/>
          <w:szCs w:val="18"/>
        </w:rPr>
        <w:t xml:space="preserve"> se </w:t>
      </w:r>
      <w:r w:rsidRPr="00475398">
        <w:rPr>
          <w:rFonts w:asciiTheme="majorHAnsi" w:hAnsiTheme="majorHAnsi"/>
          <w:b/>
          <w:bCs/>
          <w:sz w:val="18"/>
          <w:szCs w:val="18"/>
        </w:rPr>
        <w:t xml:space="preserve">u </w:t>
      </w:r>
      <w:proofErr w:type="spellStart"/>
      <w:r w:rsidRPr="00475398">
        <w:rPr>
          <w:rFonts w:asciiTheme="majorHAnsi" w:hAnsiTheme="majorHAnsi"/>
          <w:b/>
          <w:bCs/>
          <w:sz w:val="18"/>
          <w:szCs w:val="18"/>
        </w:rPr>
        <w:t>oblasti</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javnih</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nabavki</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fokusira</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na</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primenu</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aktuelnog</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Zakona</w:t>
      </w:r>
      <w:proofErr w:type="spellEnd"/>
      <w:r w:rsidRPr="00475398">
        <w:rPr>
          <w:rFonts w:asciiTheme="majorHAnsi" w:hAnsiTheme="majorHAnsi"/>
          <w:bCs/>
          <w:sz w:val="18"/>
          <w:szCs w:val="18"/>
        </w:rPr>
        <w:t xml:space="preserve"> o </w:t>
      </w:r>
      <w:proofErr w:type="spellStart"/>
      <w:r w:rsidRPr="00475398">
        <w:rPr>
          <w:rFonts w:asciiTheme="majorHAnsi" w:hAnsiTheme="majorHAnsi"/>
          <w:bCs/>
          <w:sz w:val="18"/>
          <w:szCs w:val="18"/>
        </w:rPr>
        <w:t>javnim</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nabavkama</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iako</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su</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neki</w:t>
      </w:r>
      <w:proofErr w:type="spellEnd"/>
      <w:r w:rsidRPr="00475398">
        <w:rPr>
          <w:rFonts w:asciiTheme="majorHAnsi" w:hAnsiTheme="majorHAnsi"/>
          <w:bCs/>
          <w:sz w:val="18"/>
          <w:szCs w:val="18"/>
        </w:rPr>
        <w:t xml:space="preserve"> od </w:t>
      </w:r>
      <w:proofErr w:type="spellStart"/>
      <w:r w:rsidRPr="00475398">
        <w:rPr>
          <w:rFonts w:asciiTheme="majorHAnsi" w:hAnsiTheme="majorHAnsi"/>
          <w:bCs/>
          <w:sz w:val="18"/>
          <w:szCs w:val="18"/>
        </w:rPr>
        <w:t>problema</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iz</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te</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oblasti</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vezani</w:t>
      </w:r>
      <w:proofErr w:type="spellEnd"/>
      <w:r w:rsidRPr="00475398">
        <w:rPr>
          <w:rFonts w:asciiTheme="majorHAnsi" w:hAnsiTheme="majorHAnsi"/>
          <w:bCs/>
          <w:sz w:val="18"/>
          <w:szCs w:val="18"/>
        </w:rPr>
        <w:t xml:space="preserve"> za </w:t>
      </w:r>
      <w:proofErr w:type="spellStart"/>
      <w:r w:rsidRPr="00475398">
        <w:rPr>
          <w:rFonts w:asciiTheme="majorHAnsi" w:hAnsiTheme="majorHAnsi"/>
          <w:bCs/>
          <w:sz w:val="18"/>
          <w:szCs w:val="18"/>
        </w:rPr>
        <w:t>izmenu</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ili</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primenu</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drugih</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propisa</w:t>
      </w:r>
      <w:proofErr w:type="spellEnd"/>
      <w:r w:rsidRPr="00475398">
        <w:rPr>
          <w:rFonts w:asciiTheme="majorHAnsi" w:hAnsiTheme="majorHAnsi"/>
          <w:bCs/>
          <w:sz w:val="18"/>
          <w:szCs w:val="18"/>
        </w:rPr>
        <w:t xml:space="preserve">; </w:t>
      </w:r>
      <w:r w:rsidRPr="00475398">
        <w:rPr>
          <w:rFonts w:asciiTheme="majorHAnsi" w:hAnsiTheme="majorHAnsi"/>
          <w:sz w:val="18"/>
          <w:szCs w:val="18"/>
        </w:rPr>
        <w:t xml:space="preserve">Strategija ne </w:t>
      </w:r>
      <w:proofErr w:type="spellStart"/>
      <w:r w:rsidRPr="00475398">
        <w:rPr>
          <w:rFonts w:asciiTheme="majorHAnsi" w:hAnsiTheme="majorHAnsi"/>
          <w:sz w:val="18"/>
          <w:szCs w:val="18"/>
        </w:rPr>
        <w:t>govori</w:t>
      </w:r>
      <w:proofErr w:type="spellEnd"/>
      <w:r w:rsidRPr="00475398">
        <w:rPr>
          <w:rFonts w:asciiTheme="majorHAnsi" w:hAnsiTheme="majorHAnsi"/>
          <w:sz w:val="18"/>
          <w:szCs w:val="18"/>
        </w:rPr>
        <w:t xml:space="preserve"> o </w:t>
      </w:r>
      <w:proofErr w:type="spellStart"/>
      <w:r w:rsidRPr="00475398">
        <w:rPr>
          <w:rFonts w:asciiTheme="majorHAnsi" w:hAnsiTheme="majorHAnsi"/>
          <w:sz w:val="18"/>
          <w:szCs w:val="18"/>
        </w:rPr>
        <w:t>problemu</w:t>
      </w:r>
      <w:proofErr w:type="spellEnd"/>
      <w:r w:rsidRPr="00475398">
        <w:rPr>
          <w:rFonts w:asciiTheme="majorHAnsi" w:hAnsiTheme="majorHAnsi"/>
          <w:sz w:val="18"/>
          <w:szCs w:val="18"/>
        </w:rPr>
        <w:t xml:space="preserve"> </w:t>
      </w:r>
      <w:proofErr w:type="spellStart"/>
      <w:r w:rsidRPr="00475398">
        <w:rPr>
          <w:rFonts w:asciiTheme="majorHAnsi" w:hAnsiTheme="majorHAnsi"/>
          <w:b/>
          <w:sz w:val="18"/>
          <w:szCs w:val="18"/>
        </w:rPr>
        <w:t>nedovoljnih</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kapaciteta</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budžetskih</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inspekcija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usled</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čega</w:t>
      </w:r>
      <w:proofErr w:type="spellEnd"/>
      <w:r w:rsidRPr="00475398">
        <w:rPr>
          <w:rFonts w:asciiTheme="majorHAnsi" w:hAnsiTheme="majorHAnsi"/>
          <w:sz w:val="18"/>
          <w:szCs w:val="18"/>
        </w:rPr>
        <w:t xml:space="preserve"> se </w:t>
      </w:r>
      <w:proofErr w:type="spellStart"/>
      <w:r w:rsidRPr="00475398">
        <w:rPr>
          <w:rFonts w:asciiTheme="majorHAnsi" w:hAnsiTheme="majorHAnsi"/>
          <w:sz w:val="18"/>
          <w:szCs w:val="18"/>
        </w:rPr>
        <w:t>veliki</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broj</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zloupotreba</w:t>
      </w:r>
      <w:proofErr w:type="spellEnd"/>
      <w:r w:rsidRPr="00475398">
        <w:rPr>
          <w:rFonts w:asciiTheme="majorHAnsi" w:hAnsiTheme="majorHAnsi"/>
          <w:sz w:val="18"/>
          <w:szCs w:val="18"/>
        </w:rPr>
        <w:t xml:space="preserve"> u </w:t>
      </w:r>
      <w:proofErr w:type="spellStart"/>
      <w:r w:rsidRPr="00475398">
        <w:rPr>
          <w:rFonts w:asciiTheme="majorHAnsi" w:hAnsiTheme="majorHAnsi"/>
          <w:sz w:val="18"/>
          <w:szCs w:val="18"/>
        </w:rPr>
        <w:t>finansijskom</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poslovanju</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otkriva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kasno</w:t>
      </w:r>
      <w:proofErr w:type="spellEnd"/>
      <w:r w:rsidRPr="00475398">
        <w:rPr>
          <w:rFonts w:asciiTheme="majorHAnsi" w:hAnsiTheme="majorHAnsi"/>
          <w:sz w:val="18"/>
          <w:szCs w:val="18"/>
        </w:rPr>
        <w:t xml:space="preserve">; U </w:t>
      </w:r>
      <w:proofErr w:type="spellStart"/>
      <w:r w:rsidRPr="00475398">
        <w:rPr>
          <w:rFonts w:asciiTheme="majorHAnsi" w:hAnsiTheme="majorHAnsi"/>
          <w:sz w:val="18"/>
          <w:szCs w:val="18"/>
        </w:rPr>
        <w:t>delu</w:t>
      </w:r>
      <w:proofErr w:type="spellEnd"/>
      <w:r w:rsidRPr="00475398">
        <w:rPr>
          <w:rFonts w:asciiTheme="majorHAnsi" w:hAnsiTheme="majorHAnsi"/>
          <w:sz w:val="18"/>
          <w:szCs w:val="18"/>
        </w:rPr>
        <w:t xml:space="preserve"> o </w:t>
      </w:r>
      <w:proofErr w:type="spellStart"/>
      <w:r w:rsidRPr="00475398">
        <w:rPr>
          <w:rFonts w:asciiTheme="majorHAnsi" w:hAnsiTheme="majorHAnsi"/>
          <w:sz w:val="18"/>
          <w:szCs w:val="18"/>
        </w:rPr>
        <w:t>privatizaciji</w:t>
      </w:r>
      <w:proofErr w:type="spellEnd"/>
      <w:r w:rsidRPr="00475398">
        <w:rPr>
          <w:rFonts w:asciiTheme="majorHAnsi" w:hAnsiTheme="majorHAnsi"/>
          <w:sz w:val="18"/>
          <w:szCs w:val="18"/>
        </w:rPr>
        <w:t xml:space="preserve">, Strategija ne </w:t>
      </w:r>
      <w:proofErr w:type="spellStart"/>
      <w:r w:rsidRPr="00475398">
        <w:rPr>
          <w:rFonts w:asciiTheme="majorHAnsi" w:hAnsiTheme="majorHAnsi"/>
          <w:sz w:val="18"/>
          <w:szCs w:val="18"/>
        </w:rPr>
        <w:t>poklanja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pažnju</w:t>
      </w:r>
      <w:proofErr w:type="spellEnd"/>
      <w:r w:rsidRPr="00475398">
        <w:rPr>
          <w:rFonts w:asciiTheme="majorHAnsi" w:hAnsiTheme="majorHAnsi"/>
          <w:sz w:val="18"/>
          <w:szCs w:val="18"/>
        </w:rPr>
        <w:t xml:space="preserve"> </w:t>
      </w:r>
      <w:proofErr w:type="spellStart"/>
      <w:r w:rsidRPr="00475398">
        <w:rPr>
          <w:rFonts w:asciiTheme="majorHAnsi" w:hAnsiTheme="majorHAnsi"/>
          <w:b/>
          <w:sz w:val="18"/>
          <w:szCs w:val="18"/>
        </w:rPr>
        <w:t>odlukama</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državnih</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organa</w:t>
      </w:r>
      <w:proofErr w:type="spellEnd"/>
      <w:r w:rsidRPr="00475398">
        <w:rPr>
          <w:rFonts w:asciiTheme="majorHAnsi" w:hAnsiTheme="majorHAnsi"/>
          <w:sz w:val="18"/>
          <w:szCs w:val="18"/>
        </w:rPr>
        <w:t xml:space="preserve"> </w:t>
      </w:r>
      <w:r w:rsidRPr="00475398">
        <w:rPr>
          <w:rFonts w:asciiTheme="majorHAnsi" w:hAnsiTheme="majorHAnsi"/>
          <w:b/>
          <w:sz w:val="18"/>
          <w:szCs w:val="18"/>
        </w:rPr>
        <w:t xml:space="preserve">o </w:t>
      </w:r>
      <w:proofErr w:type="spellStart"/>
      <w:r w:rsidRPr="00475398">
        <w:rPr>
          <w:rFonts w:asciiTheme="majorHAnsi" w:hAnsiTheme="majorHAnsi"/>
          <w:b/>
          <w:sz w:val="18"/>
          <w:szCs w:val="18"/>
        </w:rPr>
        <w:t>prodaji</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udela</w:t>
      </w:r>
      <w:proofErr w:type="spellEnd"/>
      <w:r w:rsidRPr="00475398">
        <w:rPr>
          <w:rFonts w:asciiTheme="majorHAnsi" w:hAnsiTheme="majorHAnsi"/>
          <w:sz w:val="18"/>
          <w:szCs w:val="18"/>
        </w:rPr>
        <w:t xml:space="preserve"> u </w:t>
      </w:r>
      <w:proofErr w:type="spellStart"/>
      <w:r w:rsidRPr="00475398">
        <w:rPr>
          <w:rFonts w:asciiTheme="majorHAnsi" w:hAnsiTheme="majorHAnsi"/>
          <w:sz w:val="18"/>
          <w:szCs w:val="18"/>
        </w:rPr>
        <w:t>vlasništvu</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delimično</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privatizovanih</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preduzeća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odluka</w:t>
      </w:r>
      <w:proofErr w:type="spellEnd"/>
      <w:r w:rsidRPr="00475398">
        <w:rPr>
          <w:rFonts w:asciiTheme="majorHAnsi" w:hAnsiTheme="majorHAnsi"/>
          <w:sz w:val="18"/>
          <w:szCs w:val="18"/>
        </w:rPr>
        <w:t xml:space="preserve"> o </w:t>
      </w:r>
      <w:proofErr w:type="spellStart"/>
      <w:r w:rsidRPr="00475398">
        <w:rPr>
          <w:rFonts w:asciiTheme="majorHAnsi" w:hAnsiTheme="majorHAnsi"/>
          <w:sz w:val="18"/>
          <w:szCs w:val="18"/>
        </w:rPr>
        <w:t>izdvajanju</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delova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javnih</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preduzeća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i</w:t>
      </w:r>
      <w:proofErr w:type="spellEnd"/>
      <w:r w:rsidRPr="00475398">
        <w:rPr>
          <w:rFonts w:asciiTheme="majorHAnsi" w:hAnsiTheme="majorHAnsi"/>
          <w:sz w:val="18"/>
          <w:szCs w:val="18"/>
        </w:rPr>
        <w:t xml:space="preserve"> </w:t>
      </w:r>
      <w:proofErr w:type="spellStart"/>
      <w:r w:rsidRPr="00475398">
        <w:rPr>
          <w:rFonts w:asciiTheme="majorHAnsi" w:hAnsiTheme="majorHAnsi"/>
          <w:b/>
          <w:sz w:val="18"/>
          <w:szCs w:val="18"/>
        </w:rPr>
        <w:t>preuzimanju</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obaveza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ranije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privatizovanih</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preduzeća</w:t>
      </w:r>
      <w:proofErr w:type="spellEnd"/>
      <w:r w:rsidRPr="00475398">
        <w:rPr>
          <w:rFonts w:asciiTheme="majorHAnsi" w:hAnsiTheme="majorHAnsi"/>
          <w:sz w:val="18"/>
          <w:szCs w:val="18"/>
        </w:rPr>
        <w:t xml:space="preserve">; </w:t>
      </w:r>
      <w:r w:rsidRPr="00475398">
        <w:rPr>
          <w:rFonts w:asciiTheme="majorHAnsi" w:hAnsiTheme="majorHAnsi"/>
          <w:bCs/>
          <w:sz w:val="18"/>
          <w:szCs w:val="18"/>
        </w:rPr>
        <w:t xml:space="preserve">U </w:t>
      </w:r>
      <w:proofErr w:type="spellStart"/>
      <w:r w:rsidRPr="00475398">
        <w:rPr>
          <w:rFonts w:asciiTheme="majorHAnsi" w:hAnsiTheme="majorHAnsi"/>
          <w:bCs/>
          <w:sz w:val="18"/>
          <w:szCs w:val="18"/>
        </w:rPr>
        <w:t>delu</w:t>
      </w:r>
      <w:proofErr w:type="spellEnd"/>
      <w:r w:rsidRPr="00475398">
        <w:rPr>
          <w:rFonts w:asciiTheme="majorHAnsi" w:hAnsiTheme="majorHAnsi"/>
          <w:bCs/>
          <w:sz w:val="18"/>
          <w:szCs w:val="18"/>
        </w:rPr>
        <w:t xml:space="preserve"> o </w:t>
      </w:r>
      <w:proofErr w:type="spellStart"/>
      <w:r w:rsidRPr="00475398">
        <w:rPr>
          <w:rFonts w:asciiTheme="majorHAnsi" w:hAnsiTheme="majorHAnsi"/>
          <w:bCs/>
          <w:sz w:val="18"/>
          <w:szCs w:val="18"/>
        </w:rPr>
        <w:t>Zdravstvu</w:t>
      </w:r>
      <w:proofErr w:type="spellEnd"/>
      <w:r w:rsidRPr="00475398">
        <w:rPr>
          <w:rFonts w:asciiTheme="majorHAnsi" w:hAnsiTheme="majorHAnsi"/>
          <w:bCs/>
          <w:sz w:val="18"/>
          <w:szCs w:val="18"/>
        </w:rPr>
        <w:t xml:space="preserve">, Strategija ne </w:t>
      </w:r>
      <w:proofErr w:type="spellStart"/>
      <w:r w:rsidRPr="00475398">
        <w:rPr>
          <w:rFonts w:asciiTheme="majorHAnsi" w:hAnsiTheme="majorHAnsi"/>
          <w:bCs/>
          <w:sz w:val="18"/>
          <w:szCs w:val="18"/>
        </w:rPr>
        <w:t>pominje</w:t>
      </w:r>
      <w:proofErr w:type="spellEnd"/>
      <w:r w:rsidRPr="00475398">
        <w:rPr>
          <w:rFonts w:asciiTheme="majorHAnsi" w:hAnsiTheme="majorHAnsi"/>
          <w:bCs/>
          <w:sz w:val="18"/>
          <w:szCs w:val="18"/>
        </w:rPr>
        <w:t xml:space="preserve"> </w:t>
      </w:r>
      <w:proofErr w:type="spellStart"/>
      <w:r w:rsidRPr="00475398">
        <w:rPr>
          <w:rFonts w:asciiTheme="majorHAnsi" w:hAnsiTheme="majorHAnsi"/>
          <w:bCs/>
          <w:sz w:val="18"/>
          <w:szCs w:val="18"/>
        </w:rPr>
        <w:t>potrebu</w:t>
      </w:r>
      <w:proofErr w:type="spellEnd"/>
      <w:r w:rsidRPr="00475398">
        <w:rPr>
          <w:rFonts w:asciiTheme="majorHAnsi" w:hAnsiTheme="majorHAnsi"/>
          <w:bCs/>
          <w:sz w:val="18"/>
          <w:szCs w:val="18"/>
        </w:rPr>
        <w:t xml:space="preserve"> za </w:t>
      </w:r>
      <w:proofErr w:type="spellStart"/>
      <w:r w:rsidRPr="00475398">
        <w:rPr>
          <w:rFonts w:asciiTheme="majorHAnsi" w:hAnsiTheme="majorHAnsi"/>
          <w:b/>
          <w:bCs/>
          <w:sz w:val="18"/>
          <w:szCs w:val="18"/>
        </w:rPr>
        <w:t>preciznim</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definisanjem</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prava</w:t>
      </w:r>
      <w:proofErr w:type="spellEnd"/>
      <w:r w:rsidRPr="00475398">
        <w:rPr>
          <w:rFonts w:asciiTheme="majorHAnsi" w:hAnsiTheme="majorHAnsi"/>
          <w:b/>
          <w:bCs/>
          <w:sz w:val="18"/>
          <w:szCs w:val="18"/>
        </w:rPr>
        <w:t xml:space="preserve"> </w:t>
      </w:r>
      <w:proofErr w:type="spellStart"/>
      <w:r w:rsidRPr="00475398">
        <w:rPr>
          <w:rFonts w:asciiTheme="majorHAnsi" w:hAnsiTheme="majorHAnsi"/>
          <w:b/>
          <w:bCs/>
          <w:sz w:val="18"/>
          <w:szCs w:val="18"/>
        </w:rPr>
        <w:t>pacijenata</w:t>
      </w:r>
      <w:proofErr w:type="spellEnd"/>
      <w:r w:rsidRPr="00475398">
        <w:rPr>
          <w:rFonts w:asciiTheme="majorHAnsi" w:hAnsiTheme="majorHAnsi"/>
          <w:b/>
          <w:bCs/>
          <w:sz w:val="18"/>
          <w:szCs w:val="18"/>
        </w:rPr>
        <w:t xml:space="preserve">; </w:t>
      </w:r>
      <w:r w:rsidRPr="00475398">
        <w:rPr>
          <w:rFonts w:asciiTheme="majorHAnsi" w:hAnsiTheme="majorHAnsi"/>
          <w:sz w:val="18"/>
          <w:szCs w:val="18"/>
        </w:rPr>
        <w:t xml:space="preserve">Strategija </w:t>
      </w:r>
      <w:proofErr w:type="spellStart"/>
      <w:r w:rsidRPr="00475398">
        <w:rPr>
          <w:rFonts w:asciiTheme="majorHAnsi" w:hAnsiTheme="majorHAnsi"/>
          <w:sz w:val="18"/>
          <w:szCs w:val="18"/>
        </w:rPr>
        <w:t>predviđa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mehanizam</w:t>
      </w:r>
      <w:proofErr w:type="spellEnd"/>
      <w:r w:rsidRPr="00475398">
        <w:rPr>
          <w:rFonts w:asciiTheme="majorHAnsi" w:hAnsiTheme="majorHAnsi"/>
          <w:sz w:val="18"/>
          <w:szCs w:val="18"/>
        </w:rPr>
        <w:t xml:space="preserve"> za </w:t>
      </w:r>
      <w:proofErr w:type="spellStart"/>
      <w:r w:rsidRPr="00475398">
        <w:rPr>
          <w:rFonts w:asciiTheme="majorHAnsi" w:hAnsiTheme="majorHAnsi"/>
          <w:sz w:val="18"/>
          <w:szCs w:val="18"/>
        </w:rPr>
        <w:t>utvrđivanje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korupcionih</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rizika</w:t>
      </w:r>
      <w:proofErr w:type="spellEnd"/>
      <w:r w:rsidRPr="00475398">
        <w:rPr>
          <w:rFonts w:asciiTheme="majorHAnsi" w:hAnsiTheme="majorHAnsi"/>
          <w:sz w:val="18"/>
          <w:szCs w:val="18"/>
        </w:rPr>
        <w:t xml:space="preserve"> u </w:t>
      </w:r>
      <w:proofErr w:type="spellStart"/>
      <w:r w:rsidRPr="00475398">
        <w:rPr>
          <w:rFonts w:asciiTheme="majorHAnsi" w:hAnsiTheme="majorHAnsi"/>
          <w:sz w:val="18"/>
          <w:szCs w:val="18"/>
        </w:rPr>
        <w:t>novim</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propisima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ali</w:t>
      </w:r>
      <w:proofErr w:type="spellEnd"/>
      <w:r w:rsidRPr="00475398">
        <w:rPr>
          <w:rFonts w:asciiTheme="majorHAnsi" w:hAnsiTheme="majorHAnsi"/>
          <w:sz w:val="18"/>
          <w:szCs w:val="18"/>
        </w:rPr>
        <w:t xml:space="preserve"> ne </w:t>
      </w:r>
      <w:proofErr w:type="spellStart"/>
      <w:r w:rsidRPr="00475398">
        <w:rPr>
          <w:rFonts w:asciiTheme="majorHAnsi" w:hAnsiTheme="majorHAnsi"/>
          <w:sz w:val="18"/>
          <w:szCs w:val="18"/>
        </w:rPr>
        <w:t>i</w:t>
      </w:r>
      <w:proofErr w:type="spellEnd"/>
      <w:r w:rsidRPr="00475398">
        <w:rPr>
          <w:rFonts w:asciiTheme="majorHAnsi" w:hAnsiTheme="majorHAnsi"/>
          <w:sz w:val="18"/>
          <w:szCs w:val="18"/>
        </w:rPr>
        <w:t xml:space="preserve"> </w:t>
      </w:r>
      <w:proofErr w:type="spellStart"/>
      <w:r w:rsidRPr="00475398">
        <w:rPr>
          <w:rFonts w:asciiTheme="majorHAnsi" w:hAnsiTheme="majorHAnsi"/>
          <w:b/>
          <w:sz w:val="18"/>
          <w:szCs w:val="18"/>
        </w:rPr>
        <w:t>opšte</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razmatranje</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tih</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rizika</w:t>
      </w:r>
      <w:proofErr w:type="spellEnd"/>
      <w:r w:rsidRPr="00475398">
        <w:rPr>
          <w:rFonts w:asciiTheme="majorHAnsi" w:hAnsiTheme="majorHAnsi"/>
          <w:b/>
          <w:sz w:val="18"/>
          <w:szCs w:val="18"/>
        </w:rPr>
        <w:t xml:space="preserve"> u </w:t>
      </w:r>
      <w:proofErr w:type="spellStart"/>
      <w:r w:rsidRPr="00475398">
        <w:rPr>
          <w:rFonts w:asciiTheme="majorHAnsi" w:hAnsiTheme="majorHAnsi"/>
          <w:b/>
          <w:sz w:val="18"/>
          <w:szCs w:val="18"/>
        </w:rPr>
        <w:t>propisima</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koji</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su</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već</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na</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snazi</w:t>
      </w:r>
      <w:proofErr w:type="spellEnd"/>
      <w:r w:rsidRPr="00475398">
        <w:rPr>
          <w:rFonts w:asciiTheme="majorHAnsi" w:hAnsiTheme="majorHAnsi"/>
          <w:b/>
          <w:sz w:val="18"/>
          <w:szCs w:val="18"/>
        </w:rPr>
        <w:t xml:space="preserve">; </w:t>
      </w:r>
      <w:proofErr w:type="spellStart"/>
      <w:r w:rsidRPr="00475398">
        <w:rPr>
          <w:rFonts w:asciiTheme="majorHAnsi" w:hAnsiTheme="majorHAnsi"/>
          <w:sz w:val="18"/>
          <w:szCs w:val="18"/>
        </w:rPr>
        <w:t>Kod</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zapošljavanja</w:t>
      </w:r>
      <w:proofErr w:type="spellEnd"/>
      <w:r w:rsidRPr="00475398">
        <w:rPr>
          <w:rFonts w:asciiTheme="majorHAnsi" w:hAnsiTheme="majorHAnsi"/>
          <w:sz w:val="18"/>
          <w:szCs w:val="18"/>
        </w:rPr>
        <w:t xml:space="preserve"> u </w:t>
      </w:r>
      <w:proofErr w:type="spellStart"/>
      <w:r w:rsidRPr="00475398">
        <w:rPr>
          <w:rFonts w:asciiTheme="majorHAnsi" w:hAnsiTheme="majorHAnsi"/>
          <w:sz w:val="18"/>
          <w:szCs w:val="18"/>
        </w:rPr>
        <w:t>javnom</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sektoru</w:t>
      </w:r>
      <w:proofErr w:type="spellEnd"/>
      <w:r w:rsidRPr="00475398">
        <w:rPr>
          <w:rFonts w:asciiTheme="majorHAnsi" w:hAnsiTheme="majorHAnsi"/>
          <w:sz w:val="18"/>
          <w:szCs w:val="18"/>
        </w:rPr>
        <w:t xml:space="preserve"> Strategija </w:t>
      </w:r>
      <w:proofErr w:type="spellStart"/>
      <w:r w:rsidRPr="00475398">
        <w:rPr>
          <w:rFonts w:asciiTheme="majorHAnsi" w:hAnsiTheme="majorHAnsi"/>
          <w:sz w:val="18"/>
          <w:szCs w:val="18"/>
        </w:rPr>
        <w:t>teži</w:t>
      </w:r>
      <w:proofErr w:type="spellEnd"/>
      <w:r w:rsidRPr="00475398">
        <w:rPr>
          <w:rFonts w:asciiTheme="majorHAnsi" w:hAnsiTheme="majorHAnsi"/>
          <w:sz w:val="18"/>
          <w:szCs w:val="18"/>
        </w:rPr>
        <w:t xml:space="preserve"> da </w:t>
      </w:r>
      <w:proofErr w:type="spellStart"/>
      <w:r w:rsidRPr="00475398">
        <w:rPr>
          <w:rFonts w:asciiTheme="majorHAnsi" w:hAnsiTheme="majorHAnsi"/>
          <w:sz w:val="18"/>
          <w:szCs w:val="18"/>
        </w:rPr>
        <w:t>suzi</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diskreciju</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kod</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odabira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kandidata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ali</w:t>
      </w:r>
      <w:proofErr w:type="spellEnd"/>
      <w:r w:rsidRPr="00475398">
        <w:rPr>
          <w:rFonts w:asciiTheme="majorHAnsi" w:hAnsiTheme="majorHAnsi"/>
          <w:sz w:val="18"/>
          <w:szCs w:val="18"/>
        </w:rPr>
        <w:t xml:space="preserve"> ne </w:t>
      </w:r>
      <w:proofErr w:type="spellStart"/>
      <w:r w:rsidRPr="00475398">
        <w:rPr>
          <w:rFonts w:asciiTheme="majorHAnsi" w:hAnsiTheme="majorHAnsi"/>
          <w:sz w:val="18"/>
          <w:szCs w:val="18"/>
        </w:rPr>
        <w:t>potencira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vrednost</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problema</w:t>
      </w:r>
      <w:proofErr w:type="spellEnd"/>
      <w:r w:rsidRPr="00475398">
        <w:rPr>
          <w:rFonts w:asciiTheme="majorHAnsi" w:hAnsiTheme="majorHAnsi"/>
          <w:sz w:val="18"/>
          <w:szCs w:val="18"/>
        </w:rPr>
        <w:t xml:space="preserve"> </w:t>
      </w:r>
      <w:proofErr w:type="spellStart"/>
      <w:r w:rsidRPr="00475398">
        <w:rPr>
          <w:rFonts w:asciiTheme="majorHAnsi" w:hAnsiTheme="majorHAnsi"/>
          <w:b/>
          <w:sz w:val="18"/>
          <w:szCs w:val="18"/>
        </w:rPr>
        <w:t>diskrecije</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kod</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definisanja</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uslova</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i</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kriterijuma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koji</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će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biti</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primenjeni</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na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konkursu</w:t>
      </w:r>
      <w:proofErr w:type="spellEnd"/>
      <w:r w:rsidRPr="00475398">
        <w:rPr>
          <w:rFonts w:asciiTheme="majorHAnsi" w:hAnsiTheme="majorHAnsi"/>
          <w:sz w:val="18"/>
          <w:szCs w:val="18"/>
        </w:rPr>
        <w:t xml:space="preserve">; </w:t>
      </w:r>
      <w:r w:rsidRPr="00475398">
        <w:rPr>
          <w:rFonts w:asciiTheme="majorHAnsi" w:hAnsiTheme="majorHAnsi"/>
          <w:b/>
          <w:sz w:val="18"/>
          <w:szCs w:val="18"/>
        </w:rPr>
        <w:t xml:space="preserve">Transparentnost u </w:t>
      </w:r>
      <w:proofErr w:type="spellStart"/>
      <w:r w:rsidRPr="00475398">
        <w:rPr>
          <w:rFonts w:asciiTheme="majorHAnsi" w:hAnsiTheme="majorHAnsi"/>
          <w:b/>
          <w:sz w:val="18"/>
          <w:szCs w:val="18"/>
        </w:rPr>
        <w:t>radu</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organa</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vlasti</w:t>
      </w:r>
      <w:proofErr w:type="spellEnd"/>
      <w:r w:rsidRPr="00475398">
        <w:rPr>
          <w:rFonts w:asciiTheme="majorHAnsi" w:hAnsiTheme="majorHAnsi"/>
          <w:sz w:val="18"/>
          <w:szCs w:val="18"/>
        </w:rPr>
        <w:t xml:space="preserve"> se </w:t>
      </w:r>
      <w:proofErr w:type="spellStart"/>
      <w:r w:rsidRPr="00475398">
        <w:rPr>
          <w:rFonts w:asciiTheme="majorHAnsi" w:hAnsiTheme="majorHAnsi"/>
          <w:sz w:val="18"/>
          <w:szCs w:val="18"/>
        </w:rPr>
        <w:t>suženo</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tretira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samo</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kroz</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primenu</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Zakona</w:t>
      </w:r>
      <w:proofErr w:type="spellEnd"/>
      <w:r w:rsidRPr="00475398">
        <w:rPr>
          <w:rFonts w:asciiTheme="majorHAnsi" w:hAnsiTheme="majorHAnsi"/>
          <w:sz w:val="18"/>
          <w:szCs w:val="18"/>
        </w:rPr>
        <w:t xml:space="preserve"> o </w:t>
      </w:r>
      <w:proofErr w:type="spellStart"/>
      <w:r w:rsidRPr="00475398">
        <w:rPr>
          <w:rFonts w:asciiTheme="majorHAnsi" w:hAnsiTheme="majorHAnsi"/>
          <w:sz w:val="18"/>
          <w:szCs w:val="18"/>
        </w:rPr>
        <w:t>slobodnom</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pristupu</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informacijama</w:t>
      </w:r>
      <w:proofErr w:type="spellEnd"/>
      <w:r w:rsidRPr="00475398">
        <w:rPr>
          <w:rFonts w:asciiTheme="majorHAnsi" w:hAnsiTheme="majorHAnsi"/>
          <w:sz w:val="18"/>
          <w:szCs w:val="18"/>
        </w:rPr>
        <w:t xml:space="preserve"> a </w:t>
      </w:r>
      <w:proofErr w:type="spellStart"/>
      <w:r w:rsidRPr="00475398">
        <w:rPr>
          <w:rFonts w:asciiTheme="majorHAnsi" w:hAnsiTheme="majorHAnsi"/>
          <w:sz w:val="18"/>
          <w:szCs w:val="18"/>
        </w:rPr>
        <w:t>nije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prihvaćen</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predlog</w:t>
      </w:r>
      <w:proofErr w:type="spellEnd"/>
      <w:r w:rsidRPr="00475398">
        <w:rPr>
          <w:rFonts w:asciiTheme="majorHAnsi" w:hAnsiTheme="majorHAnsi"/>
          <w:sz w:val="18"/>
          <w:szCs w:val="18"/>
        </w:rPr>
        <w:t xml:space="preserve"> TS </w:t>
      </w:r>
      <w:proofErr w:type="spellStart"/>
      <w:r w:rsidRPr="00475398">
        <w:rPr>
          <w:rFonts w:asciiTheme="majorHAnsi" w:hAnsiTheme="majorHAnsi"/>
          <w:sz w:val="18"/>
          <w:szCs w:val="18"/>
        </w:rPr>
        <w:t>koji</w:t>
      </w:r>
      <w:proofErr w:type="spellEnd"/>
      <w:r w:rsidRPr="00475398">
        <w:rPr>
          <w:rFonts w:asciiTheme="majorHAnsi" w:hAnsiTheme="majorHAnsi"/>
          <w:sz w:val="18"/>
          <w:szCs w:val="18"/>
        </w:rPr>
        <w:t xml:space="preserve"> je </w:t>
      </w:r>
      <w:proofErr w:type="spellStart"/>
      <w:r w:rsidRPr="00475398">
        <w:rPr>
          <w:rFonts w:asciiTheme="majorHAnsi" w:hAnsiTheme="majorHAnsi"/>
          <w:sz w:val="18"/>
          <w:szCs w:val="18"/>
        </w:rPr>
        <w:t>upućivao</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na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druge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neophodne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aktivnosti</w:t>
      </w:r>
      <w:proofErr w:type="spellEnd"/>
      <w:r w:rsidRPr="00475398">
        <w:rPr>
          <w:rFonts w:asciiTheme="majorHAnsi" w:hAnsiTheme="majorHAnsi"/>
          <w:sz w:val="18"/>
          <w:szCs w:val="18"/>
        </w:rPr>
        <w:t xml:space="preserve"> za </w:t>
      </w:r>
      <w:proofErr w:type="spellStart"/>
      <w:r w:rsidRPr="00475398">
        <w:rPr>
          <w:rFonts w:asciiTheme="majorHAnsi" w:hAnsiTheme="majorHAnsi"/>
          <w:sz w:val="18"/>
          <w:szCs w:val="18"/>
        </w:rPr>
        <w:t>povećanje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javnosti</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rada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organa</w:t>
      </w:r>
      <w:proofErr w:type="spellEnd"/>
      <w:r w:rsidRPr="00475398">
        <w:rPr>
          <w:rFonts w:asciiTheme="majorHAnsi" w:hAnsiTheme="majorHAnsi"/>
          <w:sz w:val="18"/>
          <w:szCs w:val="18"/>
        </w:rPr>
        <w:t xml:space="preserve">; Strategija </w:t>
      </w:r>
      <w:proofErr w:type="spellStart"/>
      <w:r w:rsidRPr="00475398">
        <w:rPr>
          <w:rFonts w:asciiTheme="majorHAnsi" w:hAnsiTheme="majorHAnsi"/>
          <w:sz w:val="18"/>
          <w:szCs w:val="18"/>
        </w:rPr>
        <w:t>predviđa</w:t>
      </w:r>
      <w:proofErr w:type="spellEnd"/>
      <w:r w:rsidRPr="00475398">
        <w:rPr>
          <w:rFonts w:asciiTheme="majorHAnsi" w:hAnsiTheme="majorHAnsi"/>
          <w:sz w:val="18"/>
          <w:szCs w:val="18"/>
        </w:rPr>
        <w:t xml:space="preserve"> </w:t>
      </w:r>
      <w:proofErr w:type="spellStart"/>
      <w:r w:rsidRPr="00475398">
        <w:rPr>
          <w:rFonts w:asciiTheme="majorHAnsi" w:hAnsiTheme="majorHAnsi"/>
          <w:b/>
          <w:sz w:val="18"/>
          <w:szCs w:val="18"/>
        </w:rPr>
        <w:t>zaštitu</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uzbunjivača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ali</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uopšte</w:t>
      </w:r>
      <w:proofErr w:type="spellEnd"/>
      <w:r w:rsidRPr="00475398">
        <w:rPr>
          <w:rFonts w:asciiTheme="majorHAnsi" w:hAnsiTheme="majorHAnsi"/>
          <w:sz w:val="18"/>
          <w:szCs w:val="18"/>
        </w:rPr>
        <w:t xml:space="preserve"> ne </w:t>
      </w:r>
      <w:proofErr w:type="spellStart"/>
      <w:r w:rsidRPr="00475398">
        <w:rPr>
          <w:rFonts w:asciiTheme="majorHAnsi" w:hAnsiTheme="majorHAnsi"/>
          <w:sz w:val="18"/>
          <w:szCs w:val="18"/>
        </w:rPr>
        <w:t>govori</w:t>
      </w:r>
      <w:proofErr w:type="spellEnd"/>
      <w:r w:rsidRPr="00475398">
        <w:rPr>
          <w:rFonts w:asciiTheme="majorHAnsi" w:hAnsiTheme="majorHAnsi"/>
          <w:sz w:val="18"/>
          <w:szCs w:val="18"/>
        </w:rPr>
        <w:t xml:space="preserve"> o </w:t>
      </w:r>
      <w:proofErr w:type="spellStart"/>
      <w:r w:rsidRPr="00475398">
        <w:rPr>
          <w:rFonts w:asciiTheme="majorHAnsi" w:hAnsiTheme="majorHAnsi"/>
          <w:sz w:val="18"/>
          <w:szCs w:val="18"/>
        </w:rPr>
        <w:t>sadržaju</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te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zaštite</w:t>
      </w:r>
      <w:proofErr w:type="spellEnd"/>
      <w:r w:rsidRPr="00475398">
        <w:rPr>
          <w:rFonts w:asciiTheme="majorHAnsi" w:hAnsiTheme="majorHAnsi"/>
          <w:sz w:val="18"/>
          <w:szCs w:val="18"/>
        </w:rPr>
        <w:t xml:space="preserve">; Ne </w:t>
      </w:r>
      <w:proofErr w:type="spellStart"/>
      <w:r w:rsidRPr="00475398">
        <w:rPr>
          <w:rFonts w:asciiTheme="majorHAnsi" w:hAnsiTheme="majorHAnsi"/>
          <w:sz w:val="18"/>
          <w:szCs w:val="18"/>
        </w:rPr>
        <w:t>predviđa</w:t>
      </w:r>
      <w:proofErr w:type="spellEnd"/>
      <w:r w:rsidRPr="00475398">
        <w:rPr>
          <w:rFonts w:asciiTheme="majorHAnsi" w:hAnsiTheme="majorHAnsi"/>
          <w:sz w:val="18"/>
          <w:szCs w:val="18"/>
        </w:rPr>
        <w:t xml:space="preserve"> se </w:t>
      </w:r>
      <w:proofErr w:type="spellStart"/>
      <w:r w:rsidRPr="00475398">
        <w:rPr>
          <w:rFonts w:asciiTheme="majorHAnsi" w:hAnsiTheme="majorHAnsi"/>
          <w:sz w:val="18"/>
          <w:szCs w:val="18"/>
        </w:rPr>
        <w:t>obaveza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donošenja</w:t>
      </w:r>
      <w:proofErr w:type="spellEnd"/>
      <w:r w:rsidRPr="00475398">
        <w:rPr>
          <w:rFonts w:asciiTheme="majorHAnsi" w:hAnsiTheme="majorHAnsi"/>
          <w:sz w:val="18"/>
          <w:szCs w:val="18"/>
        </w:rPr>
        <w:t xml:space="preserve"> </w:t>
      </w:r>
      <w:proofErr w:type="spellStart"/>
      <w:r w:rsidRPr="00475398">
        <w:rPr>
          <w:rFonts w:asciiTheme="majorHAnsi" w:hAnsiTheme="majorHAnsi"/>
          <w:b/>
          <w:sz w:val="18"/>
          <w:szCs w:val="18"/>
        </w:rPr>
        <w:t>sektorskih</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akcionih</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planova</w:t>
      </w:r>
      <w:proofErr w:type="spellEnd"/>
      <w:r w:rsidRPr="00475398">
        <w:rPr>
          <w:rFonts w:asciiTheme="majorHAnsi" w:hAnsiTheme="majorHAnsi"/>
          <w:b/>
          <w:sz w:val="18"/>
          <w:szCs w:val="18"/>
        </w:rPr>
        <w:t xml:space="preserve">; </w:t>
      </w:r>
      <w:proofErr w:type="spellStart"/>
      <w:r w:rsidRPr="00475398">
        <w:rPr>
          <w:rFonts w:asciiTheme="majorHAnsi" w:hAnsiTheme="majorHAnsi"/>
          <w:sz w:val="18"/>
          <w:szCs w:val="18"/>
        </w:rPr>
        <w:t>Deo</w:t>
      </w:r>
      <w:proofErr w:type="spellEnd"/>
      <w:r w:rsidRPr="00475398">
        <w:rPr>
          <w:rFonts w:asciiTheme="majorHAnsi" w:hAnsiTheme="majorHAnsi"/>
          <w:sz w:val="18"/>
          <w:szCs w:val="18"/>
        </w:rPr>
        <w:t xml:space="preserve"> o </w:t>
      </w:r>
      <w:proofErr w:type="spellStart"/>
      <w:r w:rsidRPr="00475398">
        <w:rPr>
          <w:rFonts w:asciiTheme="majorHAnsi" w:hAnsiTheme="majorHAnsi"/>
          <w:sz w:val="18"/>
          <w:szCs w:val="18"/>
        </w:rPr>
        <w:t>koordinaciji</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i</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praćenju</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sprovođenja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Strategije</w:t>
      </w:r>
      <w:proofErr w:type="spellEnd"/>
      <w:r w:rsidRPr="00475398">
        <w:rPr>
          <w:rFonts w:asciiTheme="majorHAnsi" w:hAnsiTheme="majorHAnsi"/>
          <w:sz w:val="18"/>
          <w:szCs w:val="18"/>
        </w:rPr>
        <w:t xml:space="preserve"> </w:t>
      </w:r>
      <w:proofErr w:type="spellStart"/>
      <w:r w:rsidRPr="00475398">
        <w:rPr>
          <w:rFonts w:asciiTheme="majorHAnsi" w:hAnsiTheme="majorHAnsi"/>
          <w:b/>
          <w:sz w:val="18"/>
          <w:szCs w:val="18"/>
        </w:rPr>
        <w:t>nije</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dovoljno</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precizno</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definisan</w:t>
      </w:r>
      <w:proofErr w:type="spellEnd"/>
      <w:r w:rsidRPr="00475398">
        <w:rPr>
          <w:rFonts w:asciiTheme="majorHAnsi" w:hAnsiTheme="majorHAnsi"/>
          <w:sz w:val="18"/>
          <w:szCs w:val="18"/>
        </w:rPr>
        <w:t xml:space="preserve"> u </w:t>
      </w:r>
      <w:proofErr w:type="spellStart"/>
      <w:r w:rsidRPr="00475398">
        <w:rPr>
          <w:rFonts w:asciiTheme="majorHAnsi" w:hAnsiTheme="majorHAnsi"/>
          <w:sz w:val="18"/>
          <w:szCs w:val="18"/>
        </w:rPr>
        <w:t>pogledu</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obaveza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i</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ovlašćenja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Ministarstva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pravde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i</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Saveta</w:t>
      </w:r>
      <w:proofErr w:type="spellEnd"/>
      <w:r w:rsidRPr="00475398">
        <w:rPr>
          <w:rFonts w:asciiTheme="majorHAnsi" w:hAnsiTheme="majorHAnsi"/>
          <w:sz w:val="18"/>
          <w:szCs w:val="18"/>
        </w:rPr>
        <w:t xml:space="preserve"> za borbu protiv korupcije; </w:t>
      </w:r>
      <w:proofErr w:type="spellStart"/>
      <w:r w:rsidRPr="00475398">
        <w:rPr>
          <w:rFonts w:asciiTheme="majorHAnsi" w:hAnsiTheme="majorHAnsi"/>
          <w:sz w:val="18"/>
          <w:szCs w:val="18"/>
        </w:rPr>
        <w:t>Deo</w:t>
      </w:r>
      <w:proofErr w:type="spellEnd"/>
      <w:r w:rsidRPr="00475398">
        <w:rPr>
          <w:rFonts w:asciiTheme="majorHAnsi" w:hAnsiTheme="majorHAnsi"/>
          <w:sz w:val="18"/>
          <w:szCs w:val="18"/>
        </w:rPr>
        <w:t xml:space="preserve"> </w:t>
      </w:r>
      <w:r w:rsidRPr="00475398">
        <w:rPr>
          <w:rFonts w:asciiTheme="majorHAnsi" w:hAnsiTheme="majorHAnsi"/>
          <w:b/>
          <w:sz w:val="18"/>
          <w:szCs w:val="18"/>
        </w:rPr>
        <w:t xml:space="preserve">o </w:t>
      </w:r>
      <w:proofErr w:type="spellStart"/>
      <w:r w:rsidRPr="00475398">
        <w:rPr>
          <w:rFonts w:asciiTheme="majorHAnsi" w:hAnsiTheme="majorHAnsi"/>
          <w:b/>
          <w:sz w:val="18"/>
          <w:szCs w:val="18"/>
        </w:rPr>
        <w:t>nadzoru</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nad</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sprovođenjem</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Strategije</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i</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odgovornosti</w:t>
      </w:r>
      <w:proofErr w:type="spellEnd"/>
      <w:r w:rsidRPr="00475398">
        <w:rPr>
          <w:rFonts w:asciiTheme="majorHAnsi" w:hAnsiTheme="majorHAnsi"/>
          <w:b/>
          <w:sz w:val="18"/>
          <w:szCs w:val="18"/>
        </w:rPr>
        <w:t xml:space="preserve"> za </w:t>
      </w:r>
      <w:proofErr w:type="spellStart"/>
      <w:r w:rsidRPr="00475398">
        <w:rPr>
          <w:rFonts w:asciiTheme="majorHAnsi" w:hAnsiTheme="majorHAnsi"/>
          <w:b/>
          <w:sz w:val="18"/>
          <w:szCs w:val="18"/>
        </w:rPr>
        <w:t>neispunjenje</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obaveza</w:t>
      </w:r>
      <w:proofErr w:type="spellEnd"/>
      <w:r w:rsidRPr="00475398">
        <w:rPr>
          <w:rFonts w:asciiTheme="majorHAnsi" w:hAnsiTheme="majorHAnsi"/>
          <w:sz w:val="18"/>
          <w:szCs w:val="18"/>
        </w:rPr>
        <w:t xml:space="preserve"> je </w:t>
      </w:r>
      <w:proofErr w:type="spellStart"/>
      <w:r w:rsidRPr="00475398">
        <w:rPr>
          <w:rFonts w:asciiTheme="majorHAnsi" w:hAnsiTheme="majorHAnsi"/>
          <w:sz w:val="18"/>
          <w:szCs w:val="18"/>
        </w:rPr>
        <w:t>takođe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nedovoljno</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jasan</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kada</w:t>
      </w:r>
      <w:proofErr w:type="spellEnd"/>
      <w:r w:rsidRPr="00475398">
        <w:rPr>
          <w:rFonts w:asciiTheme="majorHAnsi" w:hAnsiTheme="majorHAnsi"/>
          <w:sz w:val="18"/>
          <w:szCs w:val="18"/>
        </w:rPr>
        <w:t xml:space="preserve"> je </w:t>
      </w:r>
      <w:proofErr w:type="spellStart"/>
      <w:r w:rsidRPr="00475398">
        <w:rPr>
          <w:rFonts w:asciiTheme="majorHAnsi" w:hAnsiTheme="majorHAnsi"/>
          <w:sz w:val="18"/>
          <w:szCs w:val="18"/>
        </w:rPr>
        <w:t>reč</w:t>
      </w:r>
      <w:proofErr w:type="spellEnd"/>
      <w:r w:rsidRPr="00475398">
        <w:rPr>
          <w:rFonts w:asciiTheme="majorHAnsi" w:hAnsiTheme="majorHAnsi"/>
          <w:sz w:val="18"/>
          <w:szCs w:val="18"/>
        </w:rPr>
        <w:t xml:space="preserve"> o </w:t>
      </w:r>
      <w:proofErr w:type="spellStart"/>
      <w:r w:rsidRPr="00475398">
        <w:rPr>
          <w:rFonts w:asciiTheme="majorHAnsi" w:hAnsiTheme="majorHAnsi"/>
          <w:sz w:val="18"/>
          <w:szCs w:val="18"/>
        </w:rPr>
        <w:t>posledicama</w:t>
      </w:r>
      <w:proofErr w:type="spellEnd"/>
      <w:r w:rsidRPr="00475398">
        <w:rPr>
          <w:rFonts w:asciiTheme="majorHAnsi" w:hAnsiTheme="majorHAnsi"/>
          <w:sz w:val="18"/>
          <w:szCs w:val="18"/>
        </w:rPr>
        <w:t xml:space="preserve"> – da li </w:t>
      </w:r>
      <w:proofErr w:type="spellStart"/>
      <w:r w:rsidRPr="00475398">
        <w:rPr>
          <w:rFonts w:asciiTheme="majorHAnsi" w:hAnsiTheme="majorHAnsi"/>
          <w:sz w:val="18"/>
          <w:szCs w:val="18"/>
        </w:rPr>
        <w:t>će</w:t>
      </w:r>
      <w:proofErr w:type="spellEnd"/>
      <w:r w:rsidRPr="00475398">
        <w:rPr>
          <w:rFonts w:asciiTheme="majorHAnsi" w:hAnsiTheme="majorHAnsi"/>
          <w:sz w:val="18"/>
          <w:szCs w:val="18"/>
        </w:rPr>
        <w:t xml:space="preserve"> se, </w:t>
      </w:r>
      <w:proofErr w:type="spellStart"/>
      <w:r w:rsidRPr="00475398">
        <w:rPr>
          <w:rFonts w:asciiTheme="majorHAnsi" w:hAnsiTheme="majorHAnsi"/>
          <w:sz w:val="18"/>
          <w:szCs w:val="18"/>
        </w:rPr>
        <w:t>kada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Agencija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utvrdi</w:t>
      </w:r>
      <w:proofErr w:type="spellEnd"/>
      <w:r w:rsidRPr="00475398">
        <w:rPr>
          <w:rFonts w:asciiTheme="majorHAnsi" w:hAnsiTheme="majorHAnsi"/>
          <w:sz w:val="18"/>
          <w:szCs w:val="18"/>
        </w:rPr>
        <w:t xml:space="preserve"> da </w:t>
      </w:r>
      <w:proofErr w:type="spellStart"/>
      <w:r w:rsidRPr="00475398">
        <w:rPr>
          <w:rFonts w:asciiTheme="majorHAnsi" w:hAnsiTheme="majorHAnsi"/>
          <w:sz w:val="18"/>
          <w:szCs w:val="18"/>
        </w:rPr>
        <w:t>neka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institucija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neopravdano</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nije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izvršila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propisane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zadatke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voditi</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rasprava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koja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može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dovesti</w:t>
      </w:r>
      <w:proofErr w:type="spellEnd"/>
      <w:r w:rsidRPr="00475398">
        <w:rPr>
          <w:rFonts w:asciiTheme="majorHAnsi" w:hAnsiTheme="majorHAnsi"/>
          <w:sz w:val="18"/>
          <w:szCs w:val="18"/>
        </w:rPr>
        <w:t xml:space="preserve"> do </w:t>
      </w:r>
      <w:proofErr w:type="spellStart"/>
      <w:r w:rsidRPr="00475398">
        <w:rPr>
          <w:rFonts w:asciiTheme="majorHAnsi" w:hAnsiTheme="majorHAnsi"/>
          <w:sz w:val="18"/>
          <w:szCs w:val="18"/>
        </w:rPr>
        <w:t>razrešenja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njenog</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rukovodioca</w:t>
      </w:r>
      <w:proofErr w:type="spellEnd"/>
      <w:r w:rsidRPr="00475398">
        <w:rPr>
          <w:rFonts w:asciiTheme="majorHAnsi" w:hAnsiTheme="majorHAnsi"/>
          <w:sz w:val="18"/>
          <w:szCs w:val="18"/>
        </w:rPr>
        <w:t xml:space="preserve">; U </w:t>
      </w:r>
      <w:proofErr w:type="spellStart"/>
      <w:r w:rsidRPr="00475398">
        <w:rPr>
          <w:rFonts w:asciiTheme="majorHAnsi" w:hAnsiTheme="majorHAnsi"/>
          <w:sz w:val="18"/>
          <w:szCs w:val="18"/>
        </w:rPr>
        <w:t>završnim</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odredbama</w:t>
      </w:r>
      <w:proofErr w:type="spellEnd"/>
      <w:r w:rsidRPr="00475398">
        <w:rPr>
          <w:rFonts w:asciiTheme="majorHAnsi" w:hAnsiTheme="majorHAnsi"/>
          <w:sz w:val="18"/>
          <w:szCs w:val="18"/>
        </w:rPr>
        <w:t xml:space="preserve"> Strategija </w:t>
      </w:r>
      <w:r w:rsidRPr="00475398">
        <w:rPr>
          <w:rFonts w:asciiTheme="majorHAnsi" w:hAnsiTheme="majorHAnsi"/>
          <w:b/>
          <w:sz w:val="18"/>
          <w:szCs w:val="18"/>
        </w:rPr>
        <w:t xml:space="preserve">ne </w:t>
      </w:r>
      <w:proofErr w:type="spellStart"/>
      <w:r w:rsidRPr="00475398">
        <w:rPr>
          <w:rFonts w:asciiTheme="majorHAnsi" w:hAnsiTheme="majorHAnsi"/>
          <w:b/>
          <w:sz w:val="18"/>
          <w:szCs w:val="18"/>
        </w:rPr>
        <w:t>govori</w:t>
      </w:r>
      <w:proofErr w:type="spellEnd"/>
      <w:r w:rsidRPr="00475398">
        <w:rPr>
          <w:rFonts w:asciiTheme="majorHAnsi" w:hAnsiTheme="majorHAnsi"/>
          <w:b/>
          <w:sz w:val="18"/>
          <w:szCs w:val="18"/>
        </w:rPr>
        <w:t xml:space="preserve"> o </w:t>
      </w:r>
      <w:proofErr w:type="spellStart"/>
      <w:r w:rsidRPr="00475398">
        <w:rPr>
          <w:rFonts w:asciiTheme="majorHAnsi" w:hAnsiTheme="majorHAnsi"/>
          <w:b/>
          <w:sz w:val="18"/>
          <w:szCs w:val="18"/>
        </w:rPr>
        <w:t>posledicama</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prestanka</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važenja</w:t>
      </w:r>
      <w:proofErr w:type="spellEnd"/>
      <w:r w:rsidRPr="00475398">
        <w:rPr>
          <w:rFonts w:asciiTheme="majorHAnsi" w:hAnsiTheme="majorHAnsi"/>
          <w:b/>
          <w:sz w:val="18"/>
          <w:szCs w:val="18"/>
        </w:rPr>
        <w:t xml:space="preserve"> </w:t>
      </w:r>
      <w:proofErr w:type="spellStart"/>
      <w:r w:rsidRPr="00475398">
        <w:rPr>
          <w:rFonts w:asciiTheme="majorHAnsi" w:hAnsiTheme="majorHAnsi"/>
          <w:b/>
          <w:sz w:val="18"/>
          <w:szCs w:val="18"/>
        </w:rPr>
        <w:t>prethodne</w:t>
      </w:r>
      <w:proofErr w:type="spellEnd"/>
      <w:r w:rsidRPr="00475398">
        <w:rPr>
          <w:rFonts w:asciiTheme="majorHAnsi" w:hAnsiTheme="majorHAnsi"/>
          <w:sz w:val="18"/>
          <w:szCs w:val="18"/>
        </w:rPr>
        <w:t xml:space="preserve"> – </w:t>
      </w:r>
      <w:proofErr w:type="spellStart"/>
      <w:r w:rsidRPr="00475398">
        <w:rPr>
          <w:rFonts w:asciiTheme="majorHAnsi" w:hAnsiTheme="majorHAnsi"/>
          <w:sz w:val="18"/>
          <w:szCs w:val="18"/>
        </w:rPr>
        <w:t>otvara</w:t>
      </w:r>
      <w:proofErr w:type="spellEnd"/>
      <w:r w:rsidRPr="00475398">
        <w:rPr>
          <w:rFonts w:asciiTheme="majorHAnsi" w:hAnsiTheme="majorHAnsi"/>
          <w:sz w:val="18"/>
          <w:szCs w:val="18"/>
        </w:rPr>
        <w:t xml:space="preserve"> se </w:t>
      </w:r>
      <w:proofErr w:type="spellStart"/>
      <w:r w:rsidRPr="00475398">
        <w:rPr>
          <w:rFonts w:asciiTheme="majorHAnsi" w:hAnsiTheme="majorHAnsi"/>
          <w:sz w:val="18"/>
          <w:szCs w:val="18"/>
        </w:rPr>
        <w:t>pitanje</w:t>
      </w:r>
      <w:proofErr w:type="spellEnd"/>
      <w:r w:rsidRPr="00475398">
        <w:rPr>
          <w:rFonts w:asciiTheme="majorHAnsi" w:hAnsiTheme="majorHAnsi"/>
          <w:sz w:val="18"/>
          <w:szCs w:val="18"/>
        </w:rPr>
        <w:t xml:space="preserve"> da li </w:t>
      </w:r>
      <w:proofErr w:type="spellStart"/>
      <w:r w:rsidRPr="00475398">
        <w:rPr>
          <w:rFonts w:asciiTheme="majorHAnsi" w:hAnsiTheme="majorHAnsi"/>
          <w:sz w:val="18"/>
          <w:szCs w:val="18"/>
        </w:rPr>
        <w:t>će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organi</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vlasti</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biti</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dužni</w:t>
      </w:r>
      <w:proofErr w:type="spellEnd"/>
      <w:r w:rsidRPr="00475398">
        <w:rPr>
          <w:rFonts w:asciiTheme="majorHAnsi" w:hAnsiTheme="majorHAnsi"/>
          <w:sz w:val="18"/>
          <w:szCs w:val="18"/>
        </w:rPr>
        <w:t xml:space="preserve"> da </w:t>
      </w:r>
      <w:proofErr w:type="spellStart"/>
      <w:r w:rsidRPr="00475398">
        <w:rPr>
          <w:rFonts w:asciiTheme="majorHAnsi" w:hAnsiTheme="majorHAnsi"/>
          <w:sz w:val="18"/>
          <w:szCs w:val="18"/>
        </w:rPr>
        <w:t>izveštavaju</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Agenciju</w:t>
      </w:r>
      <w:proofErr w:type="spellEnd"/>
      <w:r w:rsidRPr="00475398">
        <w:rPr>
          <w:rFonts w:asciiTheme="majorHAnsi" w:hAnsiTheme="majorHAnsi"/>
          <w:sz w:val="18"/>
          <w:szCs w:val="18"/>
        </w:rPr>
        <w:t xml:space="preserve"> o </w:t>
      </w:r>
      <w:proofErr w:type="spellStart"/>
      <w:r w:rsidRPr="00475398">
        <w:rPr>
          <w:rFonts w:asciiTheme="majorHAnsi" w:hAnsiTheme="majorHAnsi"/>
          <w:sz w:val="18"/>
          <w:szCs w:val="18"/>
        </w:rPr>
        <w:t>svojim</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antikorupcijskim</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aktivnostima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na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osnovu</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bivšeg</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Akcionog</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plana</w:t>
      </w:r>
      <w:proofErr w:type="spellEnd"/>
      <w:r w:rsidRPr="00475398">
        <w:rPr>
          <w:rFonts w:asciiTheme="majorHAnsi" w:hAnsiTheme="majorHAnsi"/>
          <w:sz w:val="18"/>
          <w:szCs w:val="18"/>
        </w:rPr>
        <w:t xml:space="preserve"> do </w:t>
      </w:r>
      <w:proofErr w:type="spellStart"/>
      <w:r w:rsidRPr="00475398">
        <w:rPr>
          <w:rFonts w:asciiTheme="majorHAnsi" w:hAnsiTheme="majorHAnsi"/>
          <w:sz w:val="18"/>
          <w:szCs w:val="18"/>
        </w:rPr>
        <w:t>donošenja</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Akcionog</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plana</w:t>
      </w:r>
      <w:proofErr w:type="spellEnd"/>
      <w:r w:rsidRPr="00475398">
        <w:rPr>
          <w:rFonts w:asciiTheme="majorHAnsi" w:hAnsiTheme="majorHAnsi"/>
          <w:sz w:val="18"/>
          <w:szCs w:val="18"/>
        </w:rPr>
        <w:t xml:space="preserve"> za </w:t>
      </w:r>
      <w:proofErr w:type="spellStart"/>
      <w:r w:rsidRPr="00475398">
        <w:rPr>
          <w:rFonts w:asciiTheme="majorHAnsi" w:hAnsiTheme="majorHAnsi"/>
          <w:sz w:val="18"/>
          <w:szCs w:val="18"/>
        </w:rPr>
        <w:t>sprovođenje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nove</w:t>
      </w:r>
      <w:proofErr w:type="spellEnd"/>
      <w:r w:rsidRPr="00475398">
        <w:rPr>
          <w:rFonts w:asciiTheme="majorHAnsi" w:hAnsiTheme="majorHAnsi"/>
          <w:sz w:val="18"/>
          <w:szCs w:val="18"/>
        </w:rPr>
        <w:t xml:space="preserve"> </w:t>
      </w:r>
      <w:proofErr w:type="spellStart"/>
      <w:r w:rsidRPr="00475398">
        <w:rPr>
          <w:rFonts w:asciiTheme="majorHAnsi" w:hAnsiTheme="majorHAnsi"/>
          <w:sz w:val="18"/>
          <w:szCs w:val="18"/>
        </w:rPr>
        <w:t>Strategije</w:t>
      </w:r>
      <w:proofErr w:type="spellEnd"/>
      <w:r w:rsidRPr="00475398">
        <w:rPr>
          <w:rFonts w:asciiTheme="majorHAnsi" w:hAnsiTheme="majorHAnsi"/>
          <w:sz w:val="18"/>
          <w:szCs w:val="18"/>
        </w:rPr>
        <w:t xml:space="preserve">. </w:t>
      </w:r>
    </w:p>
    <w:p w:rsidR="004C2842" w:rsidRPr="00475398" w:rsidRDefault="004C2842" w:rsidP="004C2842">
      <w:pPr>
        <w:pStyle w:val="FootnoteText"/>
        <w:rPr>
          <w:rFonts w:asciiTheme="majorHAnsi" w:hAnsiTheme="majorHAnsi"/>
          <w:sz w:val="18"/>
          <w:szCs w:val="18"/>
          <w:lang w:val="sr-Latn-R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B85" w:rsidRDefault="00347240" w:rsidP="005A4E20">
    <w:pPr>
      <w:pStyle w:val="Header"/>
      <w:ind w:left="1440"/>
      <w:rPr>
        <w:rFonts w:ascii="Arial" w:hAnsi="Arial" w:cs="Arial"/>
        <w:b/>
        <w:iCs/>
        <w:caps/>
        <w:lang w:val="sr-Latn-CS"/>
      </w:rPr>
    </w:pPr>
    <w:r>
      <w:rPr>
        <w:rFonts w:ascii="Arial" w:hAnsi="Arial" w:cs="Arial"/>
        <w:b/>
        <w:i/>
        <w:caps/>
        <w:noProof/>
        <w:sz w:val="28"/>
        <w:szCs w:val="28"/>
        <w:lang w:val="en-GB" w:eastAsia="en-GB"/>
      </w:rPr>
      <mc:AlternateContent>
        <mc:Choice Requires="wps">
          <w:drawing>
            <wp:anchor distT="0" distB="0" distL="114300" distR="114300" simplePos="0" relativeHeight="251660288" behindDoc="0" locked="0" layoutInCell="1" allowOverlap="1" wp14:anchorId="02167F44" wp14:editId="341CF426">
              <wp:simplePos x="0" y="0"/>
              <wp:positionH relativeFrom="column">
                <wp:posOffset>2628900</wp:posOffset>
              </wp:positionH>
              <wp:positionV relativeFrom="paragraph">
                <wp:posOffset>7620</wp:posOffset>
              </wp:positionV>
              <wp:extent cx="2857500" cy="914400"/>
              <wp:effectExtent l="9525" t="7620" r="9525"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1440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82B85" w:rsidRPr="00926878" w:rsidRDefault="00347240" w:rsidP="00926878">
                          <w:pPr>
                            <w:ind w:left="1440"/>
                            <w:rPr>
                              <w:rFonts w:ascii="Tahoma" w:hAnsi="Tahoma" w:cs="Tahoma"/>
                              <w:sz w:val="16"/>
                              <w:szCs w:val="16"/>
                              <w:lang w:val="sr-Cyrl-CS"/>
                            </w:rPr>
                          </w:pPr>
                          <w:r>
                            <w:rPr>
                              <w:rFonts w:ascii="Tahoma" w:hAnsi="Tahoma" w:cs="Tahoma"/>
                              <w:sz w:val="16"/>
                              <w:szCs w:val="16"/>
                              <w:lang w:val="sr-Cyrl-CS"/>
                            </w:rPr>
                            <w:t xml:space="preserve">       </w:t>
                          </w:r>
                          <w:r>
                            <w:rPr>
                              <w:rFonts w:ascii="Tahoma" w:hAnsi="Tahoma" w:cs="Tahoma"/>
                              <w:sz w:val="16"/>
                              <w:szCs w:val="16"/>
                              <w:lang w:val="sr-Latn-CS"/>
                            </w:rPr>
                            <w:t xml:space="preserve">Адреса:  </w:t>
                          </w:r>
                          <w:r>
                            <w:rPr>
                              <w:rFonts w:ascii="Tahoma" w:hAnsi="Tahoma" w:cs="Tahoma"/>
                              <w:sz w:val="16"/>
                              <w:szCs w:val="16"/>
                              <w:lang w:val="sr-Cyrl-BA"/>
                            </w:rPr>
                            <w:t>Палмотићева 27/II</w:t>
                          </w:r>
                        </w:p>
                        <w:p w:rsidR="00A82B85" w:rsidRPr="005A4E20" w:rsidRDefault="00347240" w:rsidP="00926878">
                          <w:pPr>
                            <w:ind w:left="1440" w:firstLine="720"/>
                            <w:jc w:val="center"/>
                            <w:rPr>
                              <w:rFonts w:ascii="Tahoma" w:hAnsi="Tahoma" w:cs="Tahoma"/>
                              <w:sz w:val="16"/>
                              <w:szCs w:val="16"/>
                              <w:lang w:val="sr-Latn-CS"/>
                            </w:rPr>
                          </w:pPr>
                          <w:r>
                            <w:rPr>
                              <w:rFonts w:ascii="Tahoma" w:hAnsi="Tahoma" w:cs="Tahoma"/>
                              <w:sz w:val="16"/>
                              <w:szCs w:val="16"/>
                              <w:lang w:val="sr-Cyrl-CS"/>
                            </w:rPr>
                            <w:t xml:space="preserve">  </w:t>
                          </w:r>
                          <w:r>
                            <w:rPr>
                              <w:rFonts w:ascii="Tahoma" w:hAnsi="Tahoma" w:cs="Tahoma"/>
                              <w:sz w:val="16"/>
                              <w:szCs w:val="16"/>
                              <w:lang w:val="sr-Latn-CS"/>
                            </w:rPr>
                            <w:t>11000 Београд</w:t>
                          </w:r>
                          <w:r w:rsidRPr="005A4E20">
                            <w:rPr>
                              <w:rFonts w:ascii="Tahoma" w:hAnsi="Tahoma" w:cs="Tahoma"/>
                              <w:sz w:val="16"/>
                              <w:szCs w:val="16"/>
                              <w:lang w:val="sr-Latn-CS"/>
                            </w:rPr>
                            <w:t xml:space="preserve">, </w:t>
                          </w:r>
                          <w:r>
                            <w:rPr>
                              <w:rFonts w:ascii="Tahoma" w:hAnsi="Tahoma" w:cs="Tahoma"/>
                              <w:sz w:val="16"/>
                              <w:szCs w:val="16"/>
                              <w:lang w:val="sr-Latn-CS"/>
                            </w:rPr>
                            <w:t>Србија</w:t>
                          </w:r>
                        </w:p>
                        <w:p w:rsidR="00A82B85" w:rsidRPr="005A4E20" w:rsidRDefault="00347240" w:rsidP="005A4E20">
                          <w:pPr>
                            <w:ind w:left="1440"/>
                            <w:jc w:val="right"/>
                            <w:rPr>
                              <w:rFonts w:ascii="Tahoma" w:hAnsi="Tahoma" w:cs="Tahoma"/>
                              <w:sz w:val="16"/>
                              <w:szCs w:val="16"/>
                              <w:lang w:val="sr-Latn-CS"/>
                            </w:rPr>
                          </w:pPr>
                          <w:r>
                            <w:rPr>
                              <w:rFonts w:ascii="Tahoma" w:hAnsi="Tahoma" w:cs="Tahoma"/>
                              <w:sz w:val="16"/>
                              <w:szCs w:val="16"/>
                              <w:lang w:val="sr-Latn-CS"/>
                            </w:rPr>
                            <w:t xml:space="preserve">     Телефон</w:t>
                          </w:r>
                          <w:r w:rsidRPr="005A4E20">
                            <w:rPr>
                              <w:rFonts w:ascii="Tahoma" w:hAnsi="Tahoma" w:cs="Tahoma"/>
                              <w:sz w:val="16"/>
                              <w:szCs w:val="16"/>
                              <w:lang w:val="sr-Latn-CS"/>
                            </w:rPr>
                            <w:t>:</w:t>
                          </w:r>
                          <w:r>
                            <w:rPr>
                              <w:rFonts w:ascii="Tahoma" w:hAnsi="Tahoma" w:cs="Tahoma"/>
                              <w:sz w:val="16"/>
                              <w:szCs w:val="16"/>
                              <w:lang w:val="sr-Latn-CS"/>
                            </w:rPr>
                            <w:t xml:space="preserve">    </w:t>
                          </w:r>
                          <w:r w:rsidRPr="005A4E20">
                            <w:rPr>
                              <w:rFonts w:ascii="Tahoma" w:hAnsi="Tahoma" w:cs="Tahoma"/>
                              <w:sz w:val="16"/>
                              <w:szCs w:val="16"/>
                              <w:lang w:val="sr-Latn-CS"/>
                            </w:rPr>
                            <w:t>(+ 381 11) 303 38 27</w:t>
                          </w:r>
                        </w:p>
                        <w:p w:rsidR="00A82B85" w:rsidRPr="00926878" w:rsidRDefault="00347240" w:rsidP="00926878">
                          <w:pPr>
                            <w:ind w:left="1440"/>
                            <w:jc w:val="center"/>
                            <w:rPr>
                              <w:rFonts w:ascii="Tahoma" w:hAnsi="Tahoma" w:cs="Tahoma"/>
                              <w:sz w:val="16"/>
                              <w:szCs w:val="16"/>
                              <w:lang w:val="sr-Cyrl-CS"/>
                            </w:rPr>
                          </w:pPr>
                          <w:r>
                            <w:rPr>
                              <w:rFonts w:ascii="Tahoma" w:hAnsi="Tahoma" w:cs="Tahoma"/>
                              <w:sz w:val="16"/>
                              <w:szCs w:val="16"/>
                              <w:lang w:val="sr-Cyrl-CS"/>
                            </w:rPr>
                            <w:t xml:space="preserve">      </w:t>
                          </w:r>
                          <w:r>
                            <w:rPr>
                              <w:rFonts w:ascii="Tahoma" w:hAnsi="Tahoma" w:cs="Tahoma"/>
                              <w:sz w:val="16"/>
                              <w:szCs w:val="16"/>
                              <w:lang w:val="sr-Latn-CS"/>
                            </w:rPr>
                            <w:t xml:space="preserve">Факс:       </w:t>
                          </w:r>
                          <w:r>
                            <w:rPr>
                              <w:rFonts w:ascii="Tahoma" w:hAnsi="Tahoma" w:cs="Tahoma"/>
                              <w:sz w:val="16"/>
                              <w:szCs w:val="16"/>
                              <w:lang w:val="sr-Cyrl-CS"/>
                            </w:rPr>
                            <w:t xml:space="preserve"> </w:t>
                          </w:r>
                          <w:r>
                            <w:rPr>
                              <w:rFonts w:ascii="Tahoma" w:hAnsi="Tahoma" w:cs="Tahoma"/>
                              <w:sz w:val="16"/>
                              <w:szCs w:val="16"/>
                              <w:lang w:val="sr-Latn-CS"/>
                            </w:rPr>
                            <w:t xml:space="preserve">  </w:t>
                          </w:r>
                          <w:r w:rsidRPr="005A4E20">
                            <w:rPr>
                              <w:rFonts w:ascii="Tahoma" w:hAnsi="Tahoma" w:cs="Tahoma"/>
                              <w:sz w:val="16"/>
                              <w:szCs w:val="16"/>
                              <w:lang w:val="sr-Latn-CS"/>
                            </w:rPr>
                            <w:t xml:space="preserve">(+ 381 11) </w:t>
                          </w:r>
                          <w:r>
                            <w:rPr>
                              <w:rFonts w:ascii="Tahoma" w:hAnsi="Tahoma" w:cs="Tahoma"/>
                              <w:sz w:val="16"/>
                              <w:szCs w:val="16"/>
                              <w:lang w:val="sr-Cyrl-CS"/>
                            </w:rPr>
                            <w:t>323 78 05</w:t>
                          </w:r>
                        </w:p>
                        <w:p w:rsidR="00A82B85" w:rsidRPr="00926878" w:rsidRDefault="00347240" w:rsidP="00926878">
                          <w:pPr>
                            <w:ind w:left="1440"/>
                            <w:jc w:val="center"/>
                            <w:rPr>
                              <w:rFonts w:ascii="Tahoma" w:hAnsi="Tahoma" w:cs="Tahoma"/>
                              <w:sz w:val="16"/>
                              <w:szCs w:val="16"/>
                              <w:lang w:val="sr-Cyrl-CS"/>
                            </w:rPr>
                          </w:pPr>
                          <w:r>
                            <w:rPr>
                              <w:rFonts w:ascii="Tahoma" w:hAnsi="Tahoma" w:cs="Tahoma"/>
                              <w:sz w:val="16"/>
                              <w:szCs w:val="16"/>
                              <w:lang w:val="sr-Cyrl-CS"/>
                            </w:rPr>
                            <w:t xml:space="preserve">      </w:t>
                          </w:r>
                          <w:r w:rsidRPr="005A4E20">
                            <w:rPr>
                              <w:rFonts w:ascii="Tahoma" w:hAnsi="Tahoma" w:cs="Tahoma"/>
                              <w:sz w:val="16"/>
                              <w:szCs w:val="16"/>
                              <w:lang w:val="sr-Latn-CS"/>
                            </w:rPr>
                            <w:t xml:space="preserve">e-mail: </w:t>
                          </w:r>
                          <w:r>
                            <w:rPr>
                              <w:rFonts w:ascii="Tahoma" w:hAnsi="Tahoma" w:cs="Tahoma"/>
                              <w:sz w:val="16"/>
                              <w:szCs w:val="16"/>
                              <w:lang w:val="sr-Latn-CS"/>
                            </w:rPr>
                            <w:t>ts@transparentnost.org.</w:t>
                          </w:r>
                          <w:r>
                            <w:rPr>
                              <w:rFonts w:ascii="Tahoma" w:hAnsi="Tahoma" w:cs="Tahoma"/>
                              <w:sz w:val="16"/>
                              <w:szCs w:val="16"/>
                              <w:lang w:val="it-IT"/>
                            </w:rPr>
                            <w:t>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7pt;margin-top:.6pt;width:22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" filled="f" strokecolor="white" strokeweight="0">
              <v:textbox>
                <w:txbxContent>
                  <w:p w:rsidR="00A82B85" w:rsidRPr="00926878" w:rsidRDefault="00347240" w:rsidP="00926878">
                    <w:pPr>
                      <w:ind w:left="1440"/>
                      <w:rPr>
                        <w:rFonts w:ascii="Tahoma" w:hAnsi="Tahoma" w:cs="Tahoma"/>
                        <w:sz w:val="16"/>
                        <w:szCs w:val="16"/>
                        <w:lang w:val="sr-Cyrl-CS"/>
                      </w:rPr>
                    </w:pPr>
                    <w:r>
                      <w:rPr>
                        <w:rFonts w:ascii="Tahoma" w:hAnsi="Tahoma" w:cs="Tahoma"/>
                        <w:sz w:val="16"/>
                        <w:szCs w:val="16"/>
                        <w:lang w:val="sr-Cyrl-CS"/>
                      </w:rPr>
                      <w:t xml:space="preserve">       </w:t>
                    </w:r>
                    <w:r>
                      <w:rPr>
                        <w:rFonts w:ascii="Tahoma" w:hAnsi="Tahoma" w:cs="Tahoma"/>
                        <w:sz w:val="16"/>
                        <w:szCs w:val="16"/>
                        <w:lang w:val="sr-Latn-CS"/>
                      </w:rPr>
                      <w:t xml:space="preserve">Адреса:  </w:t>
                    </w:r>
                    <w:r>
                      <w:rPr>
                        <w:rFonts w:ascii="Tahoma" w:hAnsi="Tahoma" w:cs="Tahoma"/>
                        <w:sz w:val="16"/>
                        <w:szCs w:val="16"/>
                        <w:lang w:val="sr-Cyrl-BA"/>
                      </w:rPr>
                      <w:t>Палмотићева 27/II</w:t>
                    </w:r>
                  </w:p>
                  <w:p w:rsidR="00A82B85" w:rsidRPr="005A4E20" w:rsidRDefault="00347240" w:rsidP="00926878">
                    <w:pPr>
                      <w:ind w:left="1440" w:firstLine="720"/>
                      <w:jc w:val="center"/>
                      <w:rPr>
                        <w:rFonts w:ascii="Tahoma" w:hAnsi="Tahoma" w:cs="Tahoma"/>
                        <w:sz w:val="16"/>
                        <w:szCs w:val="16"/>
                        <w:lang w:val="sr-Latn-CS"/>
                      </w:rPr>
                    </w:pPr>
                    <w:r>
                      <w:rPr>
                        <w:rFonts w:ascii="Tahoma" w:hAnsi="Tahoma" w:cs="Tahoma"/>
                        <w:sz w:val="16"/>
                        <w:szCs w:val="16"/>
                        <w:lang w:val="sr-Cyrl-CS"/>
                      </w:rPr>
                      <w:t xml:space="preserve">  </w:t>
                    </w:r>
                    <w:r>
                      <w:rPr>
                        <w:rFonts w:ascii="Tahoma" w:hAnsi="Tahoma" w:cs="Tahoma"/>
                        <w:sz w:val="16"/>
                        <w:szCs w:val="16"/>
                        <w:lang w:val="sr-Latn-CS"/>
                      </w:rPr>
                      <w:t>11000 Београд</w:t>
                    </w:r>
                    <w:r w:rsidRPr="005A4E20">
                      <w:rPr>
                        <w:rFonts w:ascii="Tahoma" w:hAnsi="Tahoma" w:cs="Tahoma"/>
                        <w:sz w:val="16"/>
                        <w:szCs w:val="16"/>
                        <w:lang w:val="sr-Latn-CS"/>
                      </w:rPr>
                      <w:t xml:space="preserve">, </w:t>
                    </w:r>
                    <w:r>
                      <w:rPr>
                        <w:rFonts w:ascii="Tahoma" w:hAnsi="Tahoma" w:cs="Tahoma"/>
                        <w:sz w:val="16"/>
                        <w:szCs w:val="16"/>
                        <w:lang w:val="sr-Latn-CS"/>
                      </w:rPr>
                      <w:t>Србија</w:t>
                    </w:r>
                  </w:p>
                  <w:p w:rsidR="00A82B85" w:rsidRPr="005A4E20" w:rsidRDefault="00347240" w:rsidP="005A4E20">
                    <w:pPr>
                      <w:ind w:left="1440"/>
                      <w:jc w:val="right"/>
                      <w:rPr>
                        <w:rFonts w:ascii="Tahoma" w:hAnsi="Tahoma" w:cs="Tahoma"/>
                        <w:sz w:val="16"/>
                        <w:szCs w:val="16"/>
                        <w:lang w:val="sr-Latn-CS"/>
                      </w:rPr>
                    </w:pPr>
                    <w:r>
                      <w:rPr>
                        <w:rFonts w:ascii="Tahoma" w:hAnsi="Tahoma" w:cs="Tahoma"/>
                        <w:sz w:val="16"/>
                        <w:szCs w:val="16"/>
                        <w:lang w:val="sr-Latn-CS"/>
                      </w:rPr>
                      <w:t xml:space="preserve">     Телефон</w:t>
                    </w:r>
                    <w:r w:rsidRPr="005A4E20">
                      <w:rPr>
                        <w:rFonts w:ascii="Tahoma" w:hAnsi="Tahoma" w:cs="Tahoma"/>
                        <w:sz w:val="16"/>
                        <w:szCs w:val="16"/>
                        <w:lang w:val="sr-Latn-CS"/>
                      </w:rPr>
                      <w:t>:</w:t>
                    </w:r>
                    <w:r>
                      <w:rPr>
                        <w:rFonts w:ascii="Tahoma" w:hAnsi="Tahoma" w:cs="Tahoma"/>
                        <w:sz w:val="16"/>
                        <w:szCs w:val="16"/>
                        <w:lang w:val="sr-Latn-CS"/>
                      </w:rPr>
                      <w:t xml:space="preserve">    </w:t>
                    </w:r>
                    <w:r w:rsidRPr="005A4E20">
                      <w:rPr>
                        <w:rFonts w:ascii="Tahoma" w:hAnsi="Tahoma" w:cs="Tahoma"/>
                        <w:sz w:val="16"/>
                        <w:szCs w:val="16"/>
                        <w:lang w:val="sr-Latn-CS"/>
                      </w:rPr>
                      <w:t>(+ 381 11) 303 38 27</w:t>
                    </w:r>
                  </w:p>
                  <w:p w:rsidR="00A82B85" w:rsidRPr="00926878" w:rsidRDefault="00347240" w:rsidP="00926878">
                    <w:pPr>
                      <w:ind w:left="1440"/>
                      <w:jc w:val="center"/>
                      <w:rPr>
                        <w:rFonts w:ascii="Tahoma" w:hAnsi="Tahoma" w:cs="Tahoma"/>
                        <w:sz w:val="16"/>
                        <w:szCs w:val="16"/>
                        <w:lang w:val="sr-Cyrl-CS"/>
                      </w:rPr>
                    </w:pPr>
                    <w:r>
                      <w:rPr>
                        <w:rFonts w:ascii="Tahoma" w:hAnsi="Tahoma" w:cs="Tahoma"/>
                        <w:sz w:val="16"/>
                        <w:szCs w:val="16"/>
                        <w:lang w:val="sr-Cyrl-CS"/>
                      </w:rPr>
                      <w:t xml:space="preserve">      </w:t>
                    </w:r>
                    <w:r>
                      <w:rPr>
                        <w:rFonts w:ascii="Tahoma" w:hAnsi="Tahoma" w:cs="Tahoma"/>
                        <w:sz w:val="16"/>
                        <w:szCs w:val="16"/>
                        <w:lang w:val="sr-Latn-CS"/>
                      </w:rPr>
                      <w:t xml:space="preserve">Факс:       </w:t>
                    </w:r>
                    <w:r>
                      <w:rPr>
                        <w:rFonts w:ascii="Tahoma" w:hAnsi="Tahoma" w:cs="Tahoma"/>
                        <w:sz w:val="16"/>
                        <w:szCs w:val="16"/>
                        <w:lang w:val="sr-Cyrl-CS"/>
                      </w:rPr>
                      <w:t xml:space="preserve"> </w:t>
                    </w:r>
                    <w:r>
                      <w:rPr>
                        <w:rFonts w:ascii="Tahoma" w:hAnsi="Tahoma" w:cs="Tahoma"/>
                        <w:sz w:val="16"/>
                        <w:szCs w:val="16"/>
                        <w:lang w:val="sr-Latn-CS"/>
                      </w:rPr>
                      <w:t xml:space="preserve">  </w:t>
                    </w:r>
                    <w:r w:rsidRPr="005A4E20">
                      <w:rPr>
                        <w:rFonts w:ascii="Tahoma" w:hAnsi="Tahoma" w:cs="Tahoma"/>
                        <w:sz w:val="16"/>
                        <w:szCs w:val="16"/>
                        <w:lang w:val="sr-Latn-CS"/>
                      </w:rPr>
                      <w:t xml:space="preserve">(+ 381 11) </w:t>
                    </w:r>
                    <w:r>
                      <w:rPr>
                        <w:rFonts w:ascii="Tahoma" w:hAnsi="Tahoma" w:cs="Tahoma"/>
                        <w:sz w:val="16"/>
                        <w:szCs w:val="16"/>
                        <w:lang w:val="sr-Cyrl-CS"/>
                      </w:rPr>
                      <w:t>323 78 05</w:t>
                    </w:r>
                  </w:p>
                  <w:p w:rsidR="00A82B85" w:rsidRPr="00926878" w:rsidRDefault="00347240" w:rsidP="00926878">
                    <w:pPr>
                      <w:ind w:left="1440"/>
                      <w:jc w:val="center"/>
                      <w:rPr>
                        <w:rFonts w:ascii="Tahoma" w:hAnsi="Tahoma" w:cs="Tahoma"/>
                        <w:sz w:val="16"/>
                        <w:szCs w:val="16"/>
                        <w:lang w:val="sr-Cyrl-CS"/>
                      </w:rPr>
                    </w:pPr>
                    <w:r>
                      <w:rPr>
                        <w:rFonts w:ascii="Tahoma" w:hAnsi="Tahoma" w:cs="Tahoma"/>
                        <w:sz w:val="16"/>
                        <w:szCs w:val="16"/>
                        <w:lang w:val="sr-Cyrl-CS"/>
                      </w:rPr>
                      <w:t xml:space="preserve">      </w:t>
                    </w:r>
                    <w:r w:rsidRPr="005A4E20">
                      <w:rPr>
                        <w:rFonts w:ascii="Tahoma" w:hAnsi="Tahoma" w:cs="Tahoma"/>
                        <w:sz w:val="16"/>
                        <w:szCs w:val="16"/>
                        <w:lang w:val="sr-Latn-CS"/>
                      </w:rPr>
                      <w:t xml:space="preserve">e-mail: </w:t>
                    </w:r>
                    <w:r>
                      <w:rPr>
                        <w:rFonts w:ascii="Tahoma" w:hAnsi="Tahoma" w:cs="Tahoma"/>
                        <w:sz w:val="16"/>
                        <w:szCs w:val="16"/>
                        <w:lang w:val="sr-Latn-CS"/>
                      </w:rPr>
                      <w:t>ts@transparentnost.org.</w:t>
                    </w:r>
                    <w:r>
                      <w:rPr>
                        <w:rFonts w:ascii="Tahoma" w:hAnsi="Tahoma" w:cs="Tahoma"/>
                        <w:sz w:val="16"/>
                        <w:szCs w:val="16"/>
                        <w:lang w:val="it-IT"/>
                      </w:rPr>
                      <w:t>rs</w:t>
                    </w:r>
                  </w:p>
                </w:txbxContent>
              </v:textbox>
            </v:shape>
          </w:pict>
        </mc:Fallback>
      </mc:AlternateContent>
    </w:r>
    <w:r>
      <w:rPr>
        <w:rFonts w:ascii="Arial" w:hAnsi="Arial" w:cs="Arial"/>
        <w:b/>
        <w:caps/>
        <w:noProof/>
        <w:sz w:val="28"/>
        <w:szCs w:val="28"/>
        <w:lang w:val="en-GB" w:eastAsia="en-GB"/>
      </w:rPr>
      <w:drawing>
        <wp:anchor distT="0" distB="0" distL="114300" distR="114300" simplePos="0" relativeHeight="251659264" behindDoc="0" locked="0" layoutInCell="1" allowOverlap="1" wp14:anchorId="55CF223C" wp14:editId="06612CC5">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1"/>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A82B85" w:rsidRPr="00F658D5" w:rsidRDefault="00347240" w:rsidP="005A4E20">
    <w:pPr>
      <w:pStyle w:val="Header"/>
      <w:ind w:left="1440"/>
      <w:rPr>
        <w:rFonts w:ascii="Tahoma" w:eastAsia="Arial Unicode MS" w:hAnsi="Tahoma" w:cs="Tahoma"/>
        <w:b/>
        <w:iCs/>
        <w:caps/>
        <w:lang w:val="sr-Cyrl-BA"/>
      </w:rPr>
    </w:pPr>
    <w:r>
      <w:rPr>
        <w:rFonts w:ascii="Tahoma" w:eastAsia="Arial Unicode MS" w:hAnsi="Tahoma" w:cs="Tahoma"/>
        <w:b/>
        <w:iCs/>
        <w:caps/>
        <w:sz w:val="28"/>
        <w:szCs w:val="28"/>
        <w:lang w:val="sr-Cyrl-BA"/>
      </w:rPr>
      <w:t>ТРАНСПАРЕНТНОСТ</w:t>
    </w:r>
  </w:p>
  <w:p w:rsidR="00A82B85" w:rsidRPr="00327589" w:rsidRDefault="00347240" w:rsidP="005A4E20">
    <w:pPr>
      <w:pStyle w:val="Header"/>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сРБИЈА</w:t>
    </w:r>
  </w:p>
  <w:p w:rsidR="00A82B85" w:rsidRPr="00327589" w:rsidRDefault="00347240" w:rsidP="005A4E20">
    <w:pPr>
      <w:rPr>
        <w:b/>
      </w:rPr>
    </w:pPr>
  </w:p>
  <w:p w:rsidR="00A82B85" w:rsidRDefault="00347240" w:rsidP="005A4E20">
    <w:pPr>
      <w:pStyle w:val="Header"/>
    </w:pPr>
  </w:p>
  <w:p w:rsidR="00A82B85" w:rsidRPr="005A4E20" w:rsidRDefault="00347240" w:rsidP="005A4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43EFC"/>
    <w:multiLevelType w:val="hybridMultilevel"/>
    <w:tmpl w:val="6E9E2C64"/>
    <w:lvl w:ilvl="0" w:tplc="241A0005">
      <w:start w:val="1"/>
      <w:numFmt w:val="bullet"/>
      <w:lvlText w:val=""/>
      <w:lvlJc w:val="left"/>
      <w:pPr>
        <w:ind w:left="720" w:hanging="360"/>
      </w:pPr>
      <w:rPr>
        <w:rFonts w:ascii="Wingdings" w:hAnsi="Wingdings" w:hint="default"/>
      </w:rPr>
    </w:lvl>
    <w:lvl w:ilvl="1" w:tplc="081A000F">
      <w:start w:val="1"/>
      <w:numFmt w:val="decimal"/>
      <w:lvlText w:val="%2."/>
      <w:lvlJc w:val="left"/>
      <w:pPr>
        <w:tabs>
          <w:tab w:val="num" w:pos="1440"/>
        </w:tabs>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842"/>
    <w:rsid w:val="000D1E1A"/>
    <w:rsid w:val="00347240"/>
    <w:rsid w:val="004C2842"/>
    <w:rsid w:val="006B3E99"/>
    <w:rsid w:val="00E67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4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2842"/>
    <w:pPr>
      <w:tabs>
        <w:tab w:val="center" w:pos="4320"/>
        <w:tab w:val="right" w:pos="8640"/>
      </w:tabs>
    </w:pPr>
  </w:style>
  <w:style w:type="character" w:customStyle="1" w:styleId="HeaderChar">
    <w:name w:val="Header Char"/>
    <w:basedOn w:val="DefaultParagraphFont"/>
    <w:link w:val="Header"/>
    <w:rsid w:val="004C2842"/>
    <w:rPr>
      <w:rFonts w:ascii="Times New Roman" w:eastAsia="Times New Roman" w:hAnsi="Times New Roman" w:cs="Times New Roman"/>
      <w:sz w:val="24"/>
      <w:szCs w:val="24"/>
      <w:lang w:val="en-US"/>
    </w:rPr>
  </w:style>
  <w:style w:type="paragraph" w:styleId="Footer">
    <w:name w:val="footer"/>
    <w:basedOn w:val="Normal"/>
    <w:link w:val="FooterChar"/>
    <w:uiPriority w:val="99"/>
    <w:rsid w:val="004C2842"/>
    <w:pPr>
      <w:tabs>
        <w:tab w:val="center" w:pos="4320"/>
        <w:tab w:val="right" w:pos="8640"/>
      </w:tabs>
    </w:pPr>
  </w:style>
  <w:style w:type="character" w:customStyle="1" w:styleId="FooterChar">
    <w:name w:val="Footer Char"/>
    <w:basedOn w:val="DefaultParagraphFont"/>
    <w:link w:val="Footer"/>
    <w:uiPriority w:val="99"/>
    <w:rsid w:val="004C2842"/>
    <w:rPr>
      <w:rFonts w:ascii="Times New Roman" w:eastAsia="Times New Roman" w:hAnsi="Times New Roman" w:cs="Times New Roman"/>
      <w:sz w:val="24"/>
      <w:szCs w:val="24"/>
      <w:lang w:val="en-US"/>
    </w:rPr>
  </w:style>
  <w:style w:type="character" w:styleId="Hyperlink">
    <w:name w:val="Hyperlink"/>
    <w:rsid w:val="004C2842"/>
    <w:rPr>
      <w:color w:val="0000FF"/>
      <w:u w:val="single"/>
    </w:rPr>
  </w:style>
  <w:style w:type="paragraph" w:styleId="FootnoteText">
    <w:name w:val="footnote text"/>
    <w:basedOn w:val="Normal"/>
    <w:link w:val="FootnoteTextChar"/>
    <w:rsid w:val="004C2842"/>
    <w:rPr>
      <w:sz w:val="20"/>
      <w:szCs w:val="20"/>
    </w:rPr>
  </w:style>
  <w:style w:type="character" w:customStyle="1" w:styleId="FootnoteTextChar">
    <w:name w:val="Footnote Text Char"/>
    <w:basedOn w:val="DefaultParagraphFont"/>
    <w:link w:val="FootnoteText"/>
    <w:rsid w:val="004C2842"/>
    <w:rPr>
      <w:rFonts w:ascii="Times New Roman" w:eastAsia="Times New Roman" w:hAnsi="Times New Roman" w:cs="Times New Roman"/>
      <w:sz w:val="20"/>
      <w:szCs w:val="20"/>
      <w:lang w:val="en-US"/>
    </w:rPr>
  </w:style>
  <w:style w:type="character" w:styleId="FootnoteReference">
    <w:name w:val="footnote reference"/>
    <w:rsid w:val="004C28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4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2842"/>
    <w:pPr>
      <w:tabs>
        <w:tab w:val="center" w:pos="4320"/>
        <w:tab w:val="right" w:pos="8640"/>
      </w:tabs>
    </w:pPr>
  </w:style>
  <w:style w:type="character" w:customStyle="1" w:styleId="HeaderChar">
    <w:name w:val="Header Char"/>
    <w:basedOn w:val="DefaultParagraphFont"/>
    <w:link w:val="Header"/>
    <w:rsid w:val="004C2842"/>
    <w:rPr>
      <w:rFonts w:ascii="Times New Roman" w:eastAsia="Times New Roman" w:hAnsi="Times New Roman" w:cs="Times New Roman"/>
      <w:sz w:val="24"/>
      <w:szCs w:val="24"/>
      <w:lang w:val="en-US"/>
    </w:rPr>
  </w:style>
  <w:style w:type="paragraph" w:styleId="Footer">
    <w:name w:val="footer"/>
    <w:basedOn w:val="Normal"/>
    <w:link w:val="FooterChar"/>
    <w:uiPriority w:val="99"/>
    <w:rsid w:val="004C2842"/>
    <w:pPr>
      <w:tabs>
        <w:tab w:val="center" w:pos="4320"/>
        <w:tab w:val="right" w:pos="8640"/>
      </w:tabs>
    </w:pPr>
  </w:style>
  <w:style w:type="character" w:customStyle="1" w:styleId="FooterChar">
    <w:name w:val="Footer Char"/>
    <w:basedOn w:val="DefaultParagraphFont"/>
    <w:link w:val="Footer"/>
    <w:uiPriority w:val="99"/>
    <w:rsid w:val="004C2842"/>
    <w:rPr>
      <w:rFonts w:ascii="Times New Roman" w:eastAsia="Times New Roman" w:hAnsi="Times New Roman" w:cs="Times New Roman"/>
      <w:sz w:val="24"/>
      <w:szCs w:val="24"/>
      <w:lang w:val="en-US"/>
    </w:rPr>
  </w:style>
  <w:style w:type="character" w:styleId="Hyperlink">
    <w:name w:val="Hyperlink"/>
    <w:rsid w:val="004C2842"/>
    <w:rPr>
      <w:color w:val="0000FF"/>
      <w:u w:val="single"/>
    </w:rPr>
  </w:style>
  <w:style w:type="paragraph" w:styleId="FootnoteText">
    <w:name w:val="footnote text"/>
    <w:basedOn w:val="Normal"/>
    <w:link w:val="FootnoteTextChar"/>
    <w:rsid w:val="004C2842"/>
    <w:rPr>
      <w:sz w:val="20"/>
      <w:szCs w:val="20"/>
    </w:rPr>
  </w:style>
  <w:style w:type="character" w:customStyle="1" w:styleId="FootnoteTextChar">
    <w:name w:val="Footnote Text Char"/>
    <w:basedOn w:val="DefaultParagraphFont"/>
    <w:link w:val="FootnoteText"/>
    <w:rsid w:val="004C2842"/>
    <w:rPr>
      <w:rFonts w:ascii="Times New Roman" w:eastAsia="Times New Roman" w:hAnsi="Times New Roman" w:cs="Times New Roman"/>
      <w:sz w:val="20"/>
      <w:szCs w:val="20"/>
      <w:lang w:val="en-US"/>
    </w:rPr>
  </w:style>
  <w:style w:type="character" w:styleId="FootnoteReference">
    <w:name w:val="footnote reference"/>
    <w:rsid w:val="004C28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transparentnost.org.rs/index.php?option=com_content&amp;view=article&amp;id=270%3Aproblem-sa-postavljanjem-slubenika-na-poloaju-i-depolitizacija-dravne-uprave&amp;catid=14%3Avesti&amp;lang=sr" TargetMode="External"/><Relationship Id="rId1" Type="http://schemas.openxmlformats.org/officeDocument/2006/relationships/hyperlink" Target="http://www.bezbednost.org/upload/document/izvestaj_koalicije_preugovor_o_napretku_srbije_u_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2412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Nemanja</dc:creator>
  <cp:lastModifiedBy>Nemanja</cp:lastModifiedBy>
  <cp:revision>1</cp:revision>
  <dcterms:created xsi:type="dcterms:W3CDTF">2013-10-29T05:45:00Z</dcterms:created>
  <dcterms:modified xsi:type="dcterms:W3CDTF">2013-10-29T05:46:00Z</dcterms:modified>
</cp:coreProperties>
</file>